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1EC5" w14:textId="6F67EE57" w:rsidR="00405DED" w:rsidRPr="00405DED" w:rsidRDefault="00405DED" w:rsidP="00BD59DB">
      <w:pPr>
        <w:pStyle w:val="Script"/>
        <w:rPr>
          <w:rFonts w:ascii="Trebuchet MS" w:hAnsi="Trebuchet MS"/>
          <w:b/>
          <w:bCs/>
          <w:color w:val="000000" w:themeColor="text1"/>
          <w:sz w:val="32"/>
          <w:szCs w:val="32"/>
          <w:u w:color="808080"/>
        </w:rPr>
      </w:pPr>
      <w:r w:rsidRPr="00405DED">
        <w:rPr>
          <w:rFonts w:ascii="Trebuchet MS" w:hAnsi="Trebuchet MS"/>
          <w:b/>
          <w:bCs/>
          <w:color w:val="000000" w:themeColor="text1"/>
          <w:sz w:val="32"/>
          <w:szCs w:val="32"/>
          <w:u w:color="808080"/>
        </w:rPr>
        <w:t xml:space="preserve">Episode 12 Transcript: </w:t>
      </w:r>
      <w:r w:rsidRPr="00405DED">
        <w:rPr>
          <w:rFonts w:ascii="Trebuchet MS" w:hAnsi="Trebuchet MS"/>
          <w:b/>
          <w:bCs/>
          <w:color w:val="000000" w:themeColor="text1"/>
          <w:sz w:val="32"/>
          <w:szCs w:val="32"/>
          <w:u w:color="808080"/>
        </w:rPr>
        <w:t>“</w:t>
      </w:r>
      <w:proofErr w:type="spellStart"/>
      <w:r w:rsidRPr="00405DED">
        <w:rPr>
          <w:rFonts w:ascii="Trebuchet MS" w:hAnsi="Trebuchet MS"/>
          <w:b/>
          <w:bCs/>
          <w:color w:val="000000" w:themeColor="text1"/>
          <w:sz w:val="32"/>
          <w:szCs w:val="32"/>
          <w:lang w:val="en-US"/>
        </w:rPr>
        <w:t>D</w:t>
      </w:r>
      <w:r w:rsidR="0065593A">
        <w:rPr>
          <w:rFonts w:ascii="Trebuchet MS" w:hAnsi="Trebuchet MS"/>
          <w:b/>
          <w:bCs/>
          <w:color w:val="000000" w:themeColor="text1"/>
          <w:sz w:val="32"/>
          <w:szCs w:val="32"/>
          <w:lang w:val="en-US"/>
        </w:rPr>
        <w:t>E</w:t>
      </w:r>
      <w:r w:rsidRPr="00405DED">
        <w:rPr>
          <w:rFonts w:ascii="Trebuchet MS" w:hAnsi="Trebuchet MS"/>
          <w:b/>
          <w:bCs/>
          <w:color w:val="000000" w:themeColor="text1"/>
          <w:sz w:val="32"/>
          <w:szCs w:val="32"/>
          <w:lang w:val="en-US"/>
        </w:rPr>
        <w:t>xit</w:t>
      </w:r>
      <w:proofErr w:type="spellEnd"/>
      <w:r w:rsidRPr="00405DED">
        <w:rPr>
          <w:rFonts w:ascii="Trebuchet MS" w:hAnsi="Trebuchet MS"/>
          <w:b/>
          <w:bCs/>
          <w:color w:val="000000" w:themeColor="text1"/>
          <w:sz w:val="32"/>
          <w:szCs w:val="32"/>
          <w:lang w:val="en-US"/>
        </w:rPr>
        <w:t>:</w:t>
      </w:r>
      <w:r w:rsidR="00DC6D6B">
        <w:rPr>
          <w:rFonts w:ascii="Trebuchet MS" w:hAnsi="Trebuchet MS"/>
          <w:b/>
          <w:bCs/>
          <w:color w:val="000000" w:themeColor="text1"/>
          <w:sz w:val="32"/>
          <w:szCs w:val="32"/>
          <w:lang w:val="en-US"/>
        </w:rPr>
        <w:t xml:space="preserve"> </w:t>
      </w:r>
      <w:r w:rsidRPr="00405DED">
        <w:rPr>
          <w:rFonts w:ascii="Trebuchet MS" w:hAnsi="Trebuchet MS"/>
          <w:b/>
          <w:bCs/>
          <w:color w:val="000000" w:themeColor="text1"/>
          <w:sz w:val="32"/>
          <w:szCs w:val="32"/>
          <w:lang w:val="en-US"/>
        </w:rPr>
        <w:t xml:space="preserve">A Practical Guide Through Real World </w:t>
      </w:r>
      <w:proofErr w:type="spellStart"/>
      <w:r w:rsidRPr="00405DED">
        <w:rPr>
          <w:rFonts w:ascii="Trebuchet MS" w:hAnsi="Trebuchet MS"/>
          <w:b/>
          <w:bCs/>
          <w:color w:val="000000" w:themeColor="text1"/>
          <w:sz w:val="32"/>
          <w:szCs w:val="32"/>
          <w:lang w:val="en-US"/>
        </w:rPr>
        <w:t>Reincorporations</w:t>
      </w:r>
      <w:proofErr w:type="spellEnd"/>
      <w:r w:rsidRPr="00405DED">
        <w:rPr>
          <w:rFonts w:ascii="Trebuchet MS" w:hAnsi="Trebuchet MS"/>
          <w:b/>
          <w:bCs/>
          <w:color w:val="000000" w:themeColor="text1"/>
          <w:sz w:val="32"/>
          <w:szCs w:val="32"/>
          <w:u w:color="808080"/>
        </w:rPr>
        <w:t>”</w:t>
      </w:r>
    </w:p>
    <w:p w14:paraId="2DB08A31" w14:textId="6F26EDE6"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it-IT"/>
        </w:rPr>
        <w:t>Scott</w:t>
      </w:r>
      <w:r w:rsidRPr="00405DED">
        <w:rPr>
          <w:rFonts w:ascii="Trebuchet MS" w:hAnsi="Trebuchet MS"/>
          <w:b/>
          <w:bCs/>
          <w:color w:val="000000" w:themeColor="text1"/>
          <w:sz w:val="22"/>
          <w:szCs w:val="22"/>
          <w:u w:color="9C5DE1"/>
        </w:rPr>
        <w:t>:</w:t>
      </w:r>
      <w:r w:rsidRPr="00405DED">
        <w:rPr>
          <w:rFonts w:ascii="Trebuchet MS" w:hAnsi="Trebuchet MS"/>
          <w:color w:val="000000" w:themeColor="text1"/>
          <w:sz w:val="22"/>
          <w:szCs w:val="22"/>
          <w:lang w:val="en-US"/>
        </w:rPr>
        <w:t xml:space="preserve"> Welcome back to The Business Court Benches, the Akin podcast series where we explore the evolving competition between Delaware, Texas, and other states as forums for high sta</w:t>
      </w:r>
      <w:r w:rsidR="00405DED">
        <w:rPr>
          <w:rFonts w:ascii="Trebuchet MS" w:hAnsi="Trebuchet MS"/>
          <w:color w:val="000000" w:themeColor="text1"/>
          <w:sz w:val="22"/>
          <w:szCs w:val="22"/>
          <w:lang w:val="en-US"/>
        </w:rPr>
        <w:t>k</w:t>
      </w:r>
      <w:r w:rsidRPr="00405DED">
        <w:rPr>
          <w:rFonts w:ascii="Trebuchet MS" w:hAnsi="Trebuchet MS"/>
          <w:color w:val="000000" w:themeColor="text1"/>
          <w:sz w:val="22"/>
          <w:szCs w:val="22"/>
          <w:lang w:val="en-US"/>
        </w:rPr>
        <w:t xml:space="preserve">e corporate governance and litigation. This is episode 12, </w:t>
      </w:r>
      <w:r w:rsidR="00BD59DB">
        <w:rPr>
          <w:rFonts w:ascii="Trebuchet MS" w:hAnsi="Trebuchet MS"/>
          <w:color w:val="000000" w:themeColor="text1"/>
          <w:sz w:val="22"/>
          <w:szCs w:val="22"/>
          <w:lang w:val="en-US"/>
        </w:rPr>
        <w:t>“</w:t>
      </w:r>
      <w:proofErr w:type="spellStart"/>
      <w:r w:rsidRPr="00405DED">
        <w:rPr>
          <w:rFonts w:ascii="Trebuchet MS" w:hAnsi="Trebuchet MS"/>
          <w:color w:val="000000" w:themeColor="text1"/>
          <w:sz w:val="22"/>
          <w:szCs w:val="22"/>
          <w:lang w:val="en-US"/>
        </w:rPr>
        <w:t>D</w:t>
      </w:r>
      <w:r w:rsidR="0065593A">
        <w:rPr>
          <w:rFonts w:ascii="Trebuchet MS" w:hAnsi="Trebuchet MS"/>
          <w:color w:val="000000" w:themeColor="text1"/>
          <w:sz w:val="22"/>
          <w:szCs w:val="22"/>
          <w:lang w:val="en-US"/>
        </w:rPr>
        <w:t>E</w:t>
      </w:r>
      <w:r w:rsidRPr="00405DED">
        <w:rPr>
          <w:rFonts w:ascii="Trebuchet MS" w:hAnsi="Trebuchet MS"/>
          <w:color w:val="000000" w:themeColor="text1"/>
          <w:sz w:val="22"/>
          <w:szCs w:val="22"/>
          <w:lang w:val="en-US"/>
        </w:rPr>
        <w:t>xit</w:t>
      </w:r>
      <w:proofErr w:type="spellEnd"/>
      <w:r w:rsidRPr="00405DED">
        <w:rPr>
          <w:rFonts w:ascii="Trebuchet MS" w:hAnsi="Trebuchet MS"/>
          <w:color w:val="000000" w:themeColor="text1"/>
          <w:sz w:val="22"/>
          <w:szCs w:val="22"/>
          <w:lang w:val="en-US"/>
        </w:rPr>
        <w:t xml:space="preserve">: A Practical Guide Through Real World </w:t>
      </w:r>
      <w:proofErr w:type="spellStart"/>
      <w:r w:rsidRPr="00405DED">
        <w:rPr>
          <w:rFonts w:ascii="Trebuchet MS" w:hAnsi="Trebuchet MS"/>
          <w:color w:val="000000" w:themeColor="text1"/>
          <w:sz w:val="22"/>
          <w:szCs w:val="22"/>
          <w:lang w:val="en-US"/>
        </w:rPr>
        <w:t>Reincorporations</w:t>
      </w:r>
      <w:proofErr w:type="spellEnd"/>
      <w:r w:rsidR="00BD59DB">
        <w:rPr>
          <w:rFonts w:ascii="Trebuchet MS" w:hAnsi="Trebuchet MS"/>
          <w:color w:val="000000" w:themeColor="text1"/>
          <w:sz w:val="22"/>
          <w:szCs w:val="22"/>
          <w:lang w:val="en-US"/>
        </w:rPr>
        <w:t>”</w:t>
      </w:r>
      <w:r w:rsidRPr="00405DED">
        <w:rPr>
          <w:rFonts w:ascii="Trebuchet MS" w:hAnsi="Trebuchet MS"/>
          <w:color w:val="000000" w:themeColor="text1"/>
          <w:sz w:val="22"/>
          <w:szCs w:val="22"/>
          <w:lang w:val="en-US"/>
        </w:rPr>
        <w:t xml:space="preserve"> I'm Scott B</w:t>
      </w:r>
      <w:r w:rsidR="00A074B5" w:rsidRPr="00405DED">
        <w:rPr>
          <w:rFonts w:ascii="Trebuchet MS" w:hAnsi="Trebuchet MS"/>
          <w:color w:val="000000" w:themeColor="text1"/>
          <w:sz w:val="22"/>
          <w:szCs w:val="22"/>
          <w:lang w:val="en-US"/>
        </w:rPr>
        <w:t>a</w:t>
      </w:r>
      <w:r w:rsidR="006D6DEC" w:rsidRPr="00405DED">
        <w:rPr>
          <w:rFonts w:ascii="Trebuchet MS" w:hAnsi="Trebuchet MS"/>
          <w:color w:val="000000" w:themeColor="text1"/>
          <w:sz w:val="22"/>
          <w:szCs w:val="22"/>
          <w:lang w:val="en-US"/>
        </w:rPr>
        <w:t>r</w:t>
      </w:r>
      <w:r w:rsidRPr="00405DED">
        <w:rPr>
          <w:rFonts w:ascii="Trebuchet MS" w:hAnsi="Trebuchet MS"/>
          <w:color w:val="000000" w:themeColor="text1"/>
          <w:sz w:val="22"/>
          <w:szCs w:val="22"/>
          <w:lang w:val="en-US"/>
        </w:rPr>
        <w:t>nard, a litigation partner in Akin's Dallas office</w:t>
      </w:r>
      <w:r w:rsidR="00C7090E">
        <w:rPr>
          <w:rFonts w:ascii="Trebuchet MS" w:hAnsi="Trebuchet MS"/>
          <w:color w:val="000000" w:themeColor="text1"/>
          <w:sz w:val="22"/>
          <w:szCs w:val="22"/>
          <w:lang w:val="en-US"/>
        </w:rPr>
        <w:t xml:space="preserve">. </w:t>
      </w:r>
    </w:p>
    <w:p w14:paraId="68B23537" w14:textId="06165C91"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And I'm Stephanie Lindemuth,</w:t>
      </w:r>
      <w:r w:rsidR="00405DED">
        <w:rPr>
          <w:rFonts w:ascii="Trebuchet MS" w:hAnsi="Trebuchet MS"/>
          <w:color w:val="000000" w:themeColor="text1"/>
          <w:sz w:val="22"/>
          <w:szCs w:val="22"/>
          <w:lang w:val="en-US"/>
        </w:rPr>
        <w:t xml:space="preserve"> </w:t>
      </w:r>
      <w:r w:rsidRPr="00405DED">
        <w:rPr>
          <w:rFonts w:ascii="Trebuchet MS" w:hAnsi="Trebuchet MS"/>
          <w:color w:val="000000" w:themeColor="text1"/>
          <w:sz w:val="22"/>
          <w:szCs w:val="22"/>
          <w:lang w:val="en-US"/>
        </w:rPr>
        <w:t xml:space="preserve">a litigation partner in Akin's New York office. Today, we're doing something a little bit different. Instead of going deep on individual statutes or court decisions, we're providing a practical roadmap for understanding reincorporation, how it </w:t>
      </w:r>
      <w:proofErr w:type="gramStart"/>
      <w:r w:rsidRPr="00405DED">
        <w:rPr>
          <w:rFonts w:ascii="Trebuchet MS" w:hAnsi="Trebuchet MS"/>
          <w:color w:val="000000" w:themeColor="text1"/>
          <w:sz w:val="22"/>
          <w:szCs w:val="22"/>
          <w:lang w:val="en-US"/>
        </w:rPr>
        <w:t>actually works</w:t>
      </w:r>
      <w:proofErr w:type="gramEnd"/>
      <w:r w:rsidRPr="00405DED">
        <w:rPr>
          <w:rFonts w:ascii="Trebuchet MS" w:hAnsi="Trebuchet MS"/>
          <w:color w:val="000000" w:themeColor="text1"/>
          <w:sz w:val="22"/>
          <w:szCs w:val="22"/>
          <w:lang w:val="en-US"/>
        </w:rPr>
        <w:t xml:space="preserve">, and what we've learned from companies that have gone through it so </w:t>
      </w:r>
      <w:r w:rsidRPr="00405DED">
        <w:rPr>
          <w:rFonts w:ascii="Trebuchet MS" w:hAnsi="Trebuchet MS"/>
          <w:color w:val="000000" w:themeColor="text1"/>
          <w:sz w:val="22"/>
          <w:szCs w:val="22"/>
          <w:lang w:val="it-IT"/>
        </w:rPr>
        <w:t>far</w:t>
      </w:r>
      <w:r w:rsidR="00C7090E">
        <w:rPr>
          <w:rFonts w:ascii="Trebuchet MS" w:hAnsi="Trebuchet MS"/>
          <w:color w:val="000000" w:themeColor="text1"/>
          <w:sz w:val="22"/>
          <w:szCs w:val="22"/>
          <w:lang w:val="it-IT"/>
        </w:rPr>
        <w:t xml:space="preserve">. </w:t>
      </w:r>
    </w:p>
    <w:p w14:paraId="69485D07" w14:textId="6114FB2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Yeah. Akin recently published two articles in our </w:t>
      </w:r>
      <w:proofErr w:type="spellStart"/>
      <w:r w:rsidR="0065593A">
        <w:rPr>
          <w:rFonts w:ascii="Trebuchet MS" w:hAnsi="Trebuchet MS"/>
          <w:color w:val="000000" w:themeColor="text1"/>
          <w:sz w:val="22"/>
          <w:szCs w:val="22"/>
          <w:lang w:val="en-US"/>
        </w:rPr>
        <w:t>DE</w:t>
      </w:r>
      <w:r w:rsidRPr="00405DED">
        <w:rPr>
          <w:rFonts w:ascii="Trebuchet MS" w:hAnsi="Trebuchet MS"/>
          <w:color w:val="000000" w:themeColor="text1"/>
          <w:sz w:val="22"/>
          <w:szCs w:val="22"/>
          <w:lang w:val="en-US"/>
        </w:rPr>
        <w:t>xit</w:t>
      </w:r>
      <w:proofErr w:type="spellEnd"/>
      <w:r w:rsidRPr="00405DED">
        <w:rPr>
          <w:rFonts w:ascii="Trebuchet MS" w:hAnsi="Trebuchet MS"/>
          <w:color w:val="000000" w:themeColor="text1"/>
          <w:sz w:val="22"/>
          <w:szCs w:val="22"/>
          <w:lang w:val="en-US"/>
        </w:rPr>
        <w:t xml:space="preserve"> series. The first, </w:t>
      </w:r>
      <w:r w:rsidR="00405DED">
        <w:rPr>
          <w:rFonts w:ascii="Trebuchet MS" w:hAnsi="Trebuchet MS"/>
          <w:color w:val="000000" w:themeColor="text1"/>
          <w:sz w:val="22"/>
          <w:szCs w:val="22"/>
          <w:lang w:val="en-US"/>
        </w:rPr>
        <w:t>“</w:t>
      </w:r>
      <w:r w:rsidRPr="00405DED">
        <w:rPr>
          <w:rFonts w:ascii="Trebuchet MS" w:hAnsi="Trebuchet MS"/>
          <w:color w:val="000000" w:themeColor="text1"/>
          <w:sz w:val="22"/>
          <w:szCs w:val="22"/>
          <w:lang w:val="en-US"/>
        </w:rPr>
        <w:t xml:space="preserve">Is It Time to </w:t>
      </w:r>
      <w:proofErr w:type="spellStart"/>
      <w:r w:rsidRPr="00405DED">
        <w:rPr>
          <w:rFonts w:ascii="Trebuchet MS" w:hAnsi="Trebuchet MS"/>
          <w:color w:val="000000" w:themeColor="text1"/>
          <w:sz w:val="22"/>
          <w:szCs w:val="22"/>
          <w:lang w:val="en-US"/>
        </w:rPr>
        <w:t>D</w:t>
      </w:r>
      <w:r w:rsidR="0065593A">
        <w:rPr>
          <w:rFonts w:ascii="Trebuchet MS" w:hAnsi="Trebuchet MS"/>
          <w:color w:val="000000" w:themeColor="text1"/>
          <w:sz w:val="22"/>
          <w:szCs w:val="22"/>
          <w:lang w:val="en-US"/>
        </w:rPr>
        <w:t>E</w:t>
      </w:r>
      <w:r w:rsidRPr="00405DED">
        <w:rPr>
          <w:rFonts w:ascii="Trebuchet MS" w:hAnsi="Trebuchet MS"/>
          <w:color w:val="000000" w:themeColor="text1"/>
          <w:sz w:val="22"/>
          <w:szCs w:val="22"/>
          <w:lang w:val="en-US"/>
        </w:rPr>
        <w:t>xit</w:t>
      </w:r>
      <w:proofErr w:type="spellEnd"/>
      <w:proofErr w:type="gramStart"/>
      <w:r w:rsidRPr="00405DED">
        <w:rPr>
          <w:rFonts w:ascii="Trebuchet MS" w:hAnsi="Trebuchet MS"/>
          <w:color w:val="000000" w:themeColor="text1"/>
          <w:sz w:val="22"/>
          <w:szCs w:val="22"/>
          <w:lang w:val="en-US"/>
        </w:rPr>
        <w:t>?</w:t>
      </w:r>
      <w:proofErr w:type="gramEnd"/>
      <w:r w:rsidR="00A074B5" w:rsidRPr="00405DED">
        <w:rPr>
          <w:rFonts w:ascii="Trebuchet MS" w:hAnsi="Trebuchet MS"/>
          <w:color w:val="000000" w:themeColor="text1"/>
          <w:sz w:val="22"/>
          <w:szCs w:val="22"/>
        </w:rPr>
        <w:t xml:space="preserve"> </w:t>
      </w:r>
      <w:r w:rsidRPr="00405DED">
        <w:rPr>
          <w:rFonts w:ascii="Trebuchet MS" w:hAnsi="Trebuchet MS"/>
          <w:color w:val="000000" w:themeColor="text1"/>
          <w:sz w:val="22"/>
          <w:szCs w:val="22"/>
          <w:lang w:val="en-US"/>
        </w:rPr>
        <w:t>A Guide for Boards,</w:t>
      </w:r>
      <w:r w:rsidR="00405DED">
        <w:rPr>
          <w:rFonts w:ascii="Trebuchet MS" w:hAnsi="Trebuchet MS"/>
          <w:color w:val="000000" w:themeColor="text1"/>
          <w:sz w:val="22"/>
          <w:szCs w:val="22"/>
          <w:lang w:val="en-US"/>
        </w:rPr>
        <w:t>”</w:t>
      </w:r>
      <w:r w:rsidRPr="00405DED">
        <w:rPr>
          <w:rFonts w:ascii="Trebuchet MS" w:hAnsi="Trebuchet MS"/>
          <w:color w:val="000000" w:themeColor="text1"/>
          <w:sz w:val="22"/>
          <w:szCs w:val="22"/>
          <w:lang w:val="en-US"/>
        </w:rPr>
        <w:t xml:space="preserve"> examines the reincorporation question from a board of </w:t>
      </w:r>
      <w:proofErr w:type="gramStart"/>
      <w:r w:rsidRPr="00405DED">
        <w:rPr>
          <w:rFonts w:ascii="Trebuchet MS" w:hAnsi="Trebuchet MS"/>
          <w:color w:val="000000" w:themeColor="text1"/>
          <w:sz w:val="22"/>
          <w:szCs w:val="22"/>
          <w:lang w:val="en-US"/>
        </w:rPr>
        <w:t>directors</w:t>
      </w:r>
      <w:proofErr w:type="gramEnd"/>
      <w:r w:rsidRPr="00405DED">
        <w:rPr>
          <w:rFonts w:ascii="Trebuchet MS" w:hAnsi="Trebuchet MS"/>
          <w:color w:val="000000" w:themeColor="text1"/>
          <w:sz w:val="22"/>
          <w:szCs w:val="22"/>
          <w:lang w:val="en-US"/>
        </w:rPr>
        <w:t xml:space="preserve"> perspective, how to think through the decision, the mechanics of re-domiciling, and the best practices for execution. The second article, </w:t>
      </w:r>
      <w:r w:rsidR="00405DED">
        <w:rPr>
          <w:rFonts w:ascii="Trebuchet MS" w:hAnsi="Trebuchet MS"/>
          <w:color w:val="000000" w:themeColor="text1"/>
          <w:sz w:val="22"/>
          <w:szCs w:val="22"/>
          <w:u w:color="808080"/>
        </w:rPr>
        <w:t>“</w:t>
      </w:r>
      <w:proofErr w:type="spellStart"/>
      <w:r w:rsidRPr="00405DED">
        <w:rPr>
          <w:rFonts w:ascii="Trebuchet MS" w:hAnsi="Trebuchet MS"/>
          <w:color w:val="000000" w:themeColor="text1"/>
          <w:sz w:val="22"/>
          <w:szCs w:val="22"/>
          <w:lang w:val="en-US"/>
        </w:rPr>
        <w:t>D</w:t>
      </w:r>
      <w:r w:rsidR="0065593A">
        <w:rPr>
          <w:rFonts w:ascii="Trebuchet MS" w:hAnsi="Trebuchet MS"/>
          <w:color w:val="000000" w:themeColor="text1"/>
          <w:sz w:val="22"/>
          <w:szCs w:val="22"/>
          <w:lang w:val="en-US"/>
        </w:rPr>
        <w:t>E</w:t>
      </w:r>
      <w:r w:rsidRPr="00405DED">
        <w:rPr>
          <w:rFonts w:ascii="Trebuchet MS" w:hAnsi="Trebuchet MS"/>
          <w:color w:val="000000" w:themeColor="text1"/>
          <w:sz w:val="22"/>
          <w:szCs w:val="22"/>
          <w:lang w:val="en-US"/>
        </w:rPr>
        <w:t>xit</w:t>
      </w:r>
      <w:proofErr w:type="spellEnd"/>
      <w:r w:rsidRPr="00405DED">
        <w:rPr>
          <w:rFonts w:ascii="Trebuchet MS" w:hAnsi="Trebuchet MS"/>
          <w:color w:val="000000" w:themeColor="text1"/>
          <w:sz w:val="22"/>
          <w:szCs w:val="22"/>
          <w:lang w:val="en-US"/>
        </w:rPr>
        <w:t>: The Reincorporation Decision, A Guide for Investors,</w:t>
      </w:r>
      <w:r w:rsidR="00405DED">
        <w:rPr>
          <w:rFonts w:ascii="Trebuchet MS" w:hAnsi="Trebuchet MS"/>
          <w:color w:val="000000" w:themeColor="text1"/>
          <w:sz w:val="22"/>
          <w:szCs w:val="22"/>
          <w:lang w:val="en-US"/>
        </w:rPr>
        <w:t>”</w:t>
      </w:r>
      <w:r w:rsidRPr="00405DED">
        <w:rPr>
          <w:rFonts w:ascii="Trebuchet MS" w:hAnsi="Trebuchet MS"/>
          <w:color w:val="000000" w:themeColor="text1"/>
          <w:sz w:val="22"/>
          <w:szCs w:val="22"/>
          <w:lang w:val="en-US"/>
        </w:rPr>
        <w:t xml:space="preserve"> flips that lens and examines what investors should consider when evaluating reincorporation proposals</w:t>
      </w:r>
      <w:r w:rsidR="00C7090E">
        <w:rPr>
          <w:rFonts w:ascii="Trebuchet MS" w:hAnsi="Trebuchet MS"/>
          <w:color w:val="000000" w:themeColor="text1"/>
          <w:sz w:val="22"/>
          <w:szCs w:val="22"/>
          <w:lang w:val="en-US"/>
        </w:rPr>
        <w:t xml:space="preserve">. </w:t>
      </w:r>
    </w:p>
    <w:p w14:paraId="1825CB7C" w14:textId="08DAAC1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The key takeaway from both articles is the same. The state of incorporation is no longer a set it and forget it choice made at formation. It's become a live governance decision that boards should periodically reassess and that investors need to scrutinize vote by vote. The twenty twenty-six proxy season has made clear that reincorporation proposals are now a recurring feature of the governance landscape</w:t>
      </w:r>
      <w:r w:rsidR="00C7090E">
        <w:rPr>
          <w:rFonts w:ascii="Trebuchet MS" w:hAnsi="Trebuchet MS"/>
          <w:color w:val="000000" w:themeColor="text1"/>
          <w:sz w:val="22"/>
          <w:szCs w:val="22"/>
          <w:lang w:val="en-US"/>
        </w:rPr>
        <w:t>.</w:t>
      </w:r>
    </w:p>
    <w:p w14:paraId="7CFC03C6" w14:textId="1375EFF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For boards, the articles lay out a framework. Engage counsel early, understand the comparative benefits and risks of the destination jurisdiction, document the business rationale contemporaneously, expect a multi-work stream execution process, and study successful playbooks. For investors, the framework is the mirror image.</w:t>
      </w:r>
    </w:p>
    <w:p w14:paraId="6B29B7D1" w14:textId="4808F4C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Evaluate whether the proposal preserves shareholder rights, distinguish clean proposals from those bundled with corporate governance-reducing features, and engage early with companies considering a move</w:t>
      </w:r>
      <w:r w:rsidR="00C7090E">
        <w:rPr>
          <w:rFonts w:ascii="Trebuchet MS" w:hAnsi="Trebuchet MS"/>
          <w:color w:val="000000" w:themeColor="text1"/>
          <w:sz w:val="22"/>
          <w:szCs w:val="22"/>
          <w:lang w:val="en-US"/>
        </w:rPr>
        <w:t>.</w:t>
      </w:r>
    </w:p>
    <w:p w14:paraId="3A7DB48D" w14:textId="7D1B2948"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And critically, the articles identify real-world case studies, including those of ExxonMobil, ArcBest, and Texas Capital Ban</w:t>
      </w:r>
      <w:r w:rsidR="004356EA">
        <w:rPr>
          <w:rFonts w:ascii="Trebuchet MS" w:hAnsi="Trebuchet MS"/>
          <w:color w:val="000000" w:themeColor="text1"/>
          <w:sz w:val="22"/>
          <w:szCs w:val="22"/>
          <w:lang w:val="en-US"/>
        </w:rPr>
        <w:t>c</w:t>
      </w:r>
      <w:r w:rsidRPr="00405DED">
        <w:rPr>
          <w:rFonts w:ascii="Trebuchet MS" w:hAnsi="Trebuchet MS"/>
          <w:color w:val="000000" w:themeColor="text1"/>
          <w:sz w:val="22"/>
          <w:szCs w:val="22"/>
          <w:lang w:val="en-US"/>
        </w:rPr>
        <w:t>shares, that illustrate how these principles play out in practice. To walk us through those case studies and the practical mechanics of reincorporation, we are joined today by John Clayton.</w:t>
      </w:r>
    </w:p>
    <w:p w14:paraId="03846728" w14:textId="1AA361E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He's a capital markets partner in Akin's corporate practice and one of the co-authors of both articles</w:t>
      </w:r>
      <w:r w:rsidR="00C7090E">
        <w:rPr>
          <w:rFonts w:ascii="Trebuchet MS" w:hAnsi="Trebuchet MS"/>
          <w:color w:val="000000" w:themeColor="text1"/>
          <w:sz w:val="22"/>
          <w:szCs w:val="22"/>
          <w:lang w:val="en-US"/>
        </w:rPr>
        <w:t>.</w:t>
      </w:r>
    </w:p>
    <w:p w14:paraId="1596ACA2" w14:textId="08EEDF5D"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John, thanks for joining us today</w:t>
      </w:r>
      <w:r w:rsidR="00C7090E">
        <w:rPr>
          <w:rFonts w:ascii="Trebuchet MS" w:hAnsi="Trebuchet MS"/>
          <w:color w:val="000000" w:themeColor="text1"/>
          <w:sz w:val="22"/>
          <w:szCs w:val="22"/>
          <w:lang w:val="en-US"/>
        </w:rPr>
        <w:t>.</w:t>
      </w:r>
    </w:p>
    <w:p w14:paraId="50696CD0" w14:textId="4EFBB878"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Thanks for having me. I'm happy to dig into the mechanics and walk through what we've seen in practice</w:t>
      </w:r>
      <w:r w:rsidR="00C7090E">
        <w:rPr>
          <w:rFonts w:ascii="Trebuchet MS" w:hAnsi="Trebuchet MS"/>
          <w:color w:val="000000" w:themeColor="text1"/>
          <w:sz w:val="22"/>
          <w:szCs w:val="22"/>
          <w:lang w:val="en-US"/>
        </w:rPr>
        <w:t>.</w:t>
      </w:r>
    </w:p>
    <w:p w14:paraId="7780369C" w14:textId="576A842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lastRenderedPageBreak/>
        <w:t>Stephanie:</w:t>
      </w:r>
      <w:r w:rsidRPr="00405DED">
        <w:rPr>
          <w:rFonts w:ascii="Trebuchet MS" w:hAnsi="Trebuchet MS"/>
          <w:color w:val="000000" w:themeColor="text1"/>
          <w:sz w:val="22"/>
          <w:szCs w:val="22"/>
          <w:lang w:val="en-US"/>
        </w:rPr>
        <w:t xml:space="preserve"> Great. Let's start with the mechanics. If a board decides it wants to reincorporate, what does that process </w:t>
      </w:r>
      <w:proofErr w:type="gramStart"/>
      <w:r w:rsidRPr="00405DED">
        <w:rPr>
          <w:rFonts w:ascii="Trebuchet MS" w:hAnsi="Trebuchet MS"/>
          <w:color w:val="000000" w:themeColor="text1"/>
          <w:sz w:val="22"/>
          <w:szCs w:val="22"/>
          <w:lang w:val="en-US"/>
        </w:rPr>
        <w:t>actually look</w:t>
      </w:r>
      <w:proofErr w:type="gramEnd"/>
      <w:r w:rsidRPr="00405DED">
        <w:rPr>
          <w:rFonts w:ascii="Trebuchet MS" w:hAnsi="Trebuchet MS"/>
          <w:color w:val="000000" w:themeColor="text1"/>
          <w:sz w:val="22"/>
          <w:szCs w:val="22"/>
          <w:lang w:val="en-US"/>
        </w:rPr>
        <w:t xml:space="preserve"> like?</w:t>
      </w:r>
    </w:p>
    <w:p w14:paraId="0CBBF0B7" w14:textId="7BD4AFD0"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at the highest level, reincorporation is typically accomplished through either a statutory conversion or a merger into a newly formed sub that's in the destination state. But that's just the legal structure. Uh, what really matters is going to be the execution, and that's going to involve coordinating multiple parallel work streams.</w:t>
      </w:r>
    </w:p>
    <w:p w14:paraId="210E61A4" w14:textId="29E0AA96"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you've got corporate law analysis comparing the origin and the destination jurisdictions. You've got </w:t>
      </w:r>
      <w:proofErr w:type="spellStart"/>
      <w:r w:rsidRPr="00405DED">
        <w:rPr>
          <w:rFonts w:ascii="Trebuchet MS" w:hAnsi="Trebuchet MS"/>
          <w:color w:val="000000" w:themeColor="text1"/>
          <w:sz w:val="22"/>
          <w:szCs w:val="22"/>
          <w:lang w:val="en-US"/>
        </w:rPr>
        <w:t>board</w:t>
      </w:r>
      <w:proofErr w:type="spellEnd"/>
      <w:r w:rsidRPr="00405DED">
        <w:rPr>
          <w:rFonts w:ascii="Trebuchet MS" w:hAnsi="Trebuchet MS"/>
          <w:color w:val="000000" w:themeColor="text1"/>
          <w:sz w:val="22"/>
          <w:szCs w:val="22"/>
          <w:lang w:val="en-US"/>
        </w:rPr>
        <w:t xml:space="preserve"> process, </w:t>
      </w:r>
      <w:proofErr w:type="gramStart"/>
      <w:r w:rsidRPr="00405DED">
        <w:rPr>
          <w:rFonts w:ascii="Trebuchet MS" w:hAnsi="Trebuchet MS"/>
          <w:color w:val="000000" w:themeColor="text1"/>
          <w:sz w:val="22"/>
          <w:szCs w:val="22"/>
          <w:lang w:val="en-US"/>
        </w:rPr>
        <w:t>fiduciary</w:t>
      </w:r>
      <w:proofErr w:type="gramEnd"/>
      <w:r w:rsidRPr="00405DED">
        <w:rPr>
          <w:rFonts w:ascii="Trebuchet MS" w:hAnsi="Trebuchet MS"/>
          <w:color w:val="000000" w:themeColor="text1"/>
          <w:sz w:val="22"/>
          <w:szCs w:val="22"/>
          <w:lang w:val="en-US"/>
        </w:rPr>
        <w:t xml:space="preserve"> review. Then there's the SEC disclosure and the shareholder approval process. And part of that's </w:t>
      </w:r>
      <w:proofErr w:type="spellStart"/>
      <w:r w:rsidRPr="00405DED">
        <w:rPr>
          <w:rFonts w:ascii="Trebuchet MS" w:hAnsi="Trebuchet MS"/>
          <w:color w:val="000000" w:themeColor="text1"/>
          <w:sz w:val="22"/>
          <w:szCs w:val="22"/>
          <w:lang w:val="en-US"/>
        </w:rPr>
        <w:t>gonna</w:t>
      </w:r>
      <w:proofErr w:type="spellEnd"/>
      <w:r w:rsidRPr="00405DED">
        <w:rPr>
          <w:rFonts w:ascii="Trebuchet MS" w:hAnsi="Trebuchet MS"/>
          <w:color w:val="000000" w:themeColor="text1"/>
          <w:sz w:val="22"/>
          <w:szCs w:val="22"/>
          <w:lang w:val="en-US"/>
        </w:rPr>
        <w:t xml:space="preserve"> be including </w:t>
      </w:r>
      <w:proofErr w:type="gramStart"/>
      <w:r w:rsidRPr="00405DED">
        <w:rPr>
          <w:rFonts w:ascii="Trebuchet MS" w:hAnsi="Trebuchet MS"/>
          <w:color w:val="000000" w:themeColor="text1"/>
          <w:sz w:val="22"/>
          <w:szCs w:val="22"/>
          <w:lang w:val="en-US"/>
        </w:rPr>
        <w:t>the investor</w:t>
      </w:r>
      <w:proofErr w:type="gramEnd"/>
      <w:r w:rsidRPr="00405DED">
        <w:rPr>
          <w:rFonts w:ascii="Trebuchet MS" w:hAnsi="Trebuchet MS"/>
          <w:color w:val="000000" w:themeColor="text1"/>
          <w:sz w:val="22"/>
          <w:szCs w:val="22"/>
          <w:lang w:val="en-US"/>
        </w:rPr>
        <w:t xml:space="preserve"> engagement and proxy solicitation. And then just implementing closing itself, including all the back-end corporate housekeeping</w:t>
      </w:r>
      <w:r w:rsidR="00C7090E">
        <w:rPr>
          <w:rFonts w:ascii="Trebuchet MS" w:hAnsi="Trebuchet MS"/>
          <w:color w:val="000000" w:themeColor="text1"/>
          <w:sz w:val="22"/>
          <w:szCs w:val="22"/>
          <w:lang w:val="en-US"/>
        </w:rPr>
        <w:t>.</w:t>
      </w:r>
    </w:p>
    <w:p w14:paraId="3FC49D28" w14:textId="7777777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rPr>
        <w:t xml:space="preserve"> Mm-hmm.</w:t>
      </w:r>
    </w:p>
    <w:p w14:paraId="74CDD36E" w14:textId="2D3BB2F6"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Thanks, John. Can </w:t>
      </w:r>
      <w:proofErr w:type="gramStart"/>
      <w:r w:rsidRPr="00405DED">
        <w:rPr>
          <w:rFonts w:ascii="Trebuchet MS" w:hAnsi="Trebuchet MS"/>
          <w:color w:val="000000" w:themeColor="text1"/>
          <w:sz w:val="22"/>
          <w:szCs w:val="22"/>
          <w:lang w:val="en-US"/>
        </w:rPr>
        <w:t>you,</w:t>
      </w:r>
      <w:proofErr w:type="gramEnd"/>
      <w:r w:rsidRPr="00405DED">
        <w:rPr>
          <w:rFonts w:ascii="Trebuchet MS" w:hAnsi="Trebuchet MS"/>
          <w:color w:val="000000" w:themeColor="text1"/>
          <w:sz w:val="22"/>
          <w:szCs w:val="22"/>
          <w:lang w:val="en-US"/>
        </w:rPr>
        <w:t xml:space="preserve"> break down the timeline that we could expect for each of those work streams when you're trying to implement this?</w:t>
      </w:r>
      <w:r w:rsidRPr="00405DED">
        <w:rPr>
          <w:rFonts w:ascii="Trebuchet MS" w:hAnsi="Trebuchet MS"/>
          <w:color w:val="000000" w:themeColor="text1"/>
          <w:sz w:val="22"/>
          <w:szCs w:val="22"/>
        </w:rPr>
        <w:t xml:space="preserve"> </w:t>
      </w:r>
    </w:p>
    <w:p w14:paraId="1735233E" w14:textId="418E6050"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Sure.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the SEC filings, that's either </w:t>
      </w:r>
      <w:proofErr w:type="spellStart"/>
      <w:r w:rsidRPr="00405DED">
        <w:rPr>
          <w:rFonts w:ascii="Trebuchet MS" w:hAnsi="Trebuchet MS"/>
          <w:color w:val="000000" w:themeColor="text1"/>
          <w:sz w:val="22"/>
          <w:szCs w:val="22"/>
          <w:lang w:val="en-US"/>
        </w:rPr>
        <w:t>gonna</w:t>
      </w:r>
      <w:proofErr w:type="spellEnd"/>
      <w:r w:rsidRPr="00405DED">
        <w:rPr>
          <w:rFonts w:ascii="Trebuchet MS" w:hAnsi="Trebuchet MS"/>
          <w:color w:val="000000" w:themeColor="text1"/>
          <w:sz w:val="22"/>
          <w:szCs w:val="22"/>
          <w:lang w:val="en-US"/>
        </w:rPr>
        <w:t xml:space="preserve"> be your proxy statement or your Form S-4. That's typically </w:t>
      </w:r>
      <w:proofErr w:type="spellStart"/>
      <w:r w:rsidRPr="00405DED">
        <w:rPr>
          <w:rFonts w:ascii="Trebuchet MS" w:hAnsi="Trebuchet MS"/>
          <w:color w:val="000000" w:themeColor="text1"/>
          <w:sz w:val="22"/>
          <w:szCs w:val="22"/>
          <w:lang w:val="en-US"/>
        </w:rPr>
        <w:t>gonna</w:t>
      </w:r>
      <w:proofErr w:type="spellEnd"/>
      <w:r w:rsidRPr="00405DED">
        <w:rPr>
          <w:rFonts w:ascii="Trebuchet MS" w:hAnsi="Trebuchet MS"/>
          <w:color w:val="000000" w:themeColor="text1"/>
          <w:sz w:val="22"/>
          <w:szCs w:val="22"/>
          <w:lang w:val="en-US"/>
        </w:rPr>
        <w:t xml:space="preserve"> run four to 12 weeks, depending on the comment process. And then you </w:t>
      </w:r>
      <w:proofErr w:type="gramStart"/>
      <w:r w:rsidRPr="00405DED">
        <w:rPr>
          <w:rFonts w:ascii="Trebuchet MS" w:hAnsi="Trebuchet MS"/>
          <w:color w:val="000000" w:themeColor="text1"/>
          <w:sz w:val="22"/>
          <w:szCs w:val="22"/>
          <w:lang w:val="en-US"/>
        </w:rPr>
        <w:t>have to</w:t>
      </w:r>
      <w:proofErr w:type="gramEnd"/>
      <w:r w:rsidRPr="00405DED">
        <w:rPr>
          <w:rFonts w:ascii="Trebuchet MS" w:hAnsi="Trebuchet MS"/>
          <w:color w:val="000000" w:themeColor="text1"/>
          <w:sz w:val="22"/>
          <w:szCs w:val="22"/>
          <w:lang w:val="en-US"/>
        </w:rPr>
        <w:t xml:space="preserve"> do the FINRA and the stock exchange notifications. That's usually about two to four weeks. And then importantly, if you have debt instruments with change of control triggers or successor obligor provisions, you're </w:t>
      </w:r>
      <w:proofErr w:type="spellStart"/>
      <w:r w:rsidRPr="00405DED">
        <w:rPr>
          <w:rFonts w:ascii="Trebuchet MS" w:hAnsi="Trebuchet MS"/>
          <w:color w:val="000000" w:themeColor="text1"/>
          <w:sz w:val="22"/>
          <w:szCs w:val="22"/>
          <w:lang w:val="en-US"/>
        </w:rPr>
        <w:t>gonna</w:t>
      </w:r>
      <w:proofErr w:type="spellEnd"/>
      <w:r w:rsidRPr="00405DED">
        <w:rPr>
          <w:rFonts w:ascii="Trebuchet MS" w:hAnsi="Trebuchet MS"/>
          <w:color w:val="000000" w:themeColor="text1"/>
          <w:sz w:val="22"/>
          <w:szCs w:val="22"/>
          <w:lang w:val="en-US"/>
        </w:rPr>
        <w:t xml:space="preserve"> have to do a consent solicitation, and that could be 30 to 60 days.</w:t>
      </w:r>
    </w:p>
    <w:p w14:paraId="6C95B3CC" w14:textId="2AFD11E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And then one thing that catches companies off guard is </w:t>
      </w:r>
      <w:proofErr w:type="spellStart"/>
      <w:r w:rsidRPr="00405DED">
        <w:rPr>
          <w:rFonts w:ascii="Trebuchet MS" w:hAnsi="Trebuchet MS"/>
          <w:color w:val="000000" w:themeColor="text1"/>
          <w:sz w:val="22"/>
          <w:szCs w:val="22"/>
          <w:lang w:val="en-US"/>
        </w:rPr>
        <w:t>D&amp;O</w:t>
      </w:r>
      <w:proofErr w:type="spellEnd"/>
      <w:r w:rsidRPr="00405DED">
        <w:rPr>
          <w:rFonts w:ascii="Trebuchet MS" w:hAnsi="Trebuchet MS"/>
          <w:color w:val="000000" w:themeColor="text1"/>
          <w:sz w:val="22"/>
          <w:szCs w:val="22"/>
          <w:lang w:val="en-US"/>
        </w:rPr>
        <w:t xml:space="preserve"> insurance.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your </w:t>
      </w:r>
      <w:proofErr w:type="spellStart"/>
      <w:r w:rsidRPr="00405DED">
        <w:rPr>
          <w:rFonts w:ascii="Trebuchet MS" w:hAnsi="Trebuchet MS"/>
          <w:color w:val="000000" w:themeColor="text1"/>
          <w:sz w:val="22"/>
          <w:szCs w:val="22"/>
          <w:lang w:val="en-US"/>
        </w:rPr>
        <w:t>D&amp;O</w:t>
      </w:r>
      <w:proofErr w:type="spellEnd"/>
      <w:r w:rsidRPr="00405DED">
        <w:rPr>
          <w:rFonts w:ascii="Trebuchet MS" w:hAnsi="Trebuchet MS"/>
          <w:color w:val="000000" w:themeColor="text1"/>
          <w:sz w:val="22"/>
          <w:szCs w:val="22"/>
          <w:lang w:val="en-US"/>
        </w:rPr>
        <w:t xml:space="preserve"> insurance restructure needs to start at least 60 days before any public announcement because you're dealing with policy definitions, prior acts coverage, tail coverage, and successor underwriting issues</w:t>
      </w:r>
      <w:r w:rsidR="00C7090E">
        <w:rPr>
          <w:rFonts w:ascii="Trebuchet MS" w:hAnsi="Trebuchet MS"/>
          <w:color w:val="000000" w:themeColor="text1"/>
          <w:sz w:val="22"/>
          <w:szCs w:val="22"/>
          <w:lang w:val="en-US"/>
        </w:rPr>
        <w:t>.</w:t>
      </w:r>
    </w:p>
    <w:p w14:paraId="461F94BE" w14:textId="5A6B990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Okay.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what's the biggest practical mistake you see companies make in terms of timing?</w:t>
      </w:r>
    </w:p>
    <w:p w14:paraId="449A0BC6" w14:textId="559C5ADB"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Usually</w:t>
      </w:r>
      <w:proofErr w:type="gramEnd"/>
      <w:r w:rsidRPr="00405DED">
        <w:rPr>
          <w:rFonts w:ascii="Trebuchet MS" w:hAnsi="Trebuchet MS"/>
          <w:color w:val="000000" w:themeColor="text1"/>
          <w:sz w:val="22"/>
          <w:szCs w:val="22"/>
          <w:lang w:val="en-US"/>
        </w:rPr>
        <w:t xml:space="preserve"> it's sequencing errors.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the path from announcement to completion's complex, so you could even say it's unforgiving sometimes.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if you announce before your insurance restructuring is in place, for example, or you've gone out before you've identified change in control triggers in your debt instruments, you're </w:t>
      </w:r>
      <w:proofErr w:type="spellStart"/>
      <w:r w:rsidRPr="00405DED">
        <w:rPr>
          <w:rFonts w:ascii="Trebuchet MS" w:hAnsi="Trebuchet MS"/>
          <w:color w:val="000000" w:themeColor="text1"/>
          <w:sz w:val="22"/>
          <w:szCs w:val="22"/>
          <w:lang w:val="en-US"/>
        </w:rPr>
        <w:t>gonna</w:t>
      </w:r>
      <w:proofErr w:type="spellEnd"/>
      <w:r w:rsidRPr="00405DED">
        <w:rPr>
          <w:rFonts w:ascii="Trebuchet MS" w:hAnsi="Trebuchet MS"/>
          <w:color w:val="000000" w:themeColor="text1"/>
          <w:sz w:val="22"/>
          <w:szCs w:val="22"/>
          <w:lang w:val="en-US"/>
        </w:rPr>
        <w:t xml:space="preserve"> create unnecessary risk.</w:t>
      </w:r>
    </w:p>
    <w:p w14:paraId="64C28118" w14:textId="49A4F42E"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And on the investor engagement side, waiting until the proxy </w:t>
      </w:r>
      <w:proofErr w:type="gramStart"/>
      <w:r w:rsidRPr="00405DED">
        <w:rPr>
          <w:rFonts w:ascii="Trebuchet MS" w:hAnsi="Trebuchet MS"/>
          <w:color w:val="000000" w:themeColor="text1"/>
          <w:sz w:val="22"/>
          <w:szCs w:val="22"/>
          <w:lang w:val="en-US"/>
        </w:rPr>
        <w:t>statement's</w:t>
      </w:r>
      <w:proofErr w:type="gramEnd"/>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actually filed</w:t>
      </w:r>
      <w:proofErr w:type="gramEnd"/>
      <w:r w:rsidRPr="00405DED">
        <w:rPr>
          <w:rFonts w:ascii="Trebuchet MS" w:hAnsi="Trebuchet MS"/>
          <w:color w:val="000000" w:themeColor="text1"/>
          <w:sz w:val="22"/>
          <w:szCs w:val="22"/>
          <w:lang w:val="en-US"/>
        </w:rPr>
        <w:t xml:space="preserve"> to engage with them is usually too late. By then, you may already have had, </w:t>
      </w:r>
      <w:r w:rsidR="004356EA">
        <w:rPr>
          <w:rFonts w:ascii="Trebuchet MS" w:hAnsi="Trebuchet MS"/>
          <w:color w:val="000000" w:themeColor="text1"/>
          <w:sz w:val="22"/>
          <w:szCs w:val="22"/>
          <w:lang w:val="en-US"/>
        </w:rPr>
        <w:t xml:space="preserve">uh, </w:t>
      </w:r>
      <w:r w:rsidRPr="00405DED">
        <w:rPr>
          <w:rFonts w:ascii="Trebuchet MS" w:hAnsi="Trebuchet MS"/>
          <w:color w:val="000000" w:themeColor="text1"/>
          <w:sz w:val="22"/>
          <w:szCs w:val="22"/>
          <w:lang w:val="en-US"/>
        </w:rPr>
        <w:t>be playing defense because you've got proxy advisor recommendations that are going against the proposal</w:t>
      </w:r>
      <w:r w:rsidR="00C7090E">
        <w:rPr>
          <w:rFonts w:ascii="Trebuchet MS" w:hAnsi="Trebuchet MS"/>
          <w:color w:val="000000" w:themeColor="text1"/>
          <w:sz w:val="22"/>
          <w:szCs w:val="22"/>
          <w:lang w:val="en-US"/>
        </w:rPr>
        <w:t>.</w:t>
      </w:r>
    </w:p>
    <w:p w14:paraId="14DF7194" w14:textId="3E6B991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John, what about the shareholder vote itself? Like, what does a company need to understand when it's going in on this?</w:t>
      </w:r>
    </w:p>
    <w:p w14:paraId="5B14F7E8" w14:textId="53D0095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Well, so </w:t>
      </w:r>
      <w:proofErr w:type="gramStart"/>
      <w:r w:rsidRPr="00405DED">
        <w:rPr>
          <w:rFonts w:ascii="Trebuchet MS" w:hAnsi="Trebuchet MS"/>
          <w:color w:val="000000" w:themeColor="text1"/>
          <w:sz w:val="22"/>
          <w:szCs w:val="22"/>
          <w:lang w:val="en-US"/>
        </w:rPr>
        <w:t>first of all</w:t>
      </w:r>
      <w:proofErr w:type="gramEnd"/>
      <w:r w:rsidRPr="00405DED">
        <w:rPr>
          <w:rFonts w:ascii="Trebuchet MS" w:hAnsi="Trebuchet MS"/>
          <w:color w:val="000000" w:themeColor="text1"/>
          <w:sz w:val="22"/>
          <w:szCs w:val="22"/>
          <w:lang w:val="en-US"/>
        </w:rPr>
        <w:t xml:space="preserve">, because it's a vote, there's </w:t>
      </w:r>
      <w:proofErr w:type="spellStart"/>
      <w:r w:rsidRPr="00405DED">
        <w:rPr>
          <w:rFonts w:ascii="Trebuchet MS" w:hAnsi="Trebuchet MS"/>
          <w:color w:val="000000" w:themeColor="text1"/>
          <w:sz w:val="22"/>
          <w:szCs w:val="22"/>
          <w:lang w:val="en-US"/>
        </w:rPr>
        <w:t>gonna</w:t>
      </w:r>
      <w:proofErr w:type="spellEnd"/>
      <w:r w:rsidRPr="00405DED">
        <w:rPr>
          <w:rFonts w:ascii="Trebuchet MS" w:hAnsi="Trebuchet MS"/>
          <w:color w:val="000000" w:themeColor="text1"/>
          <w:sz w:val="22"/>
          <w:szCs w:val="22"/>
          <w:lang w:val="en-US"/>
        </w:rPr>
        <w:t xml:space="preserve"> be certain statutory voting threshold requirements, and not only in your origin jurisdiction, where--</w:t>
      </w:r>
      <w:r w:rsidR="004356EA">
        <w:rPr>
          <w:rFonts w:ascii="Trebuchet MS" w:hAnsi="Trebuchet MS"/>
          <w:color w:val="000000" w:themeColor="text1"/>
          <w:sz w:val="22"/>
          <w:szCs w:val="22"/>
          <w:lang w:val="en-US"/>
        </w:rPr>
        <w:t xml:space="preserve"> </w:t>
      </w:r>
      <w:r w:rsidRPr="00405DED">
        <w:rPr>
          <w:rFonts w:ascii="Trebuchet MS" w:hAnsi="Trebuchet MS"/>
          <w:color w:val="000000" w:themeColor="text1"/>
          <w:sz w:val="22"/>
          <w:szCs w:val="22"/>
          <w:lang w:val="en-US"/>
        </w:rPr>
        <w:t xml:space="preserve">whether </w:t>
      </w:r>
      <w:r w:rsidRPr="00405DED">
        <w:rPr>
          <w:rFonts w:ascii="Trebuchet MS" w:hAnsi="Trebuchet MS"/>
          <w:color w:val="000000" w:themeColor="text1"/>
          <w:sz w:val="22"/>
          <w:szCs w:val="22"/>
          <w:lang w:val="en-US"/>
        </w:rPr>
        <w:lastRenderedPageBreak/>
        <w:t xml:space="preserve">it's Delaware or some other state, but also in the state where you're trying to go.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you also need to identify where your key shareholder voting blocks are, and the success or failure of reincorporation depends significantly on the positions taken by proxy advisory firms and institutional investors.</w:t>
      </w:r>
    </w:p>
    <w:p w14:paraId="4E776183" w14:textId="58386F10"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companies need to model shareholder votes carefully and with a clear understanding of what's required for passage</w:t>
      </w:r>
      <w:r w:rsidR="00C7090E">
        <w:rPr>
          <w:rFonts w:ascii="Trebuchet MS" w:hAnsi="Trebuchet MS"/>
          <w:color w:val="000000" w:themeColor="text1"/>
          <w:sz w:val="22"/>
          <w:szCs w:val="22"/>
          <w:lang w:val="en-US"/>
        </w:rPr>
        <w:t>.</w:t>
      </w:r>
    </w:p>
    <w:p w14:paraId="54E4BD73" w14:textId="0809974D"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That's a really good </w:t>
      </w:r>
      <w:r w:rsidR="004356EA">
        <w:rPr>
          <w:rFonts w:ascii="Trebuchet MS" w:hAnsi="Trebuchet MS"/>
          <w:color w:val="000000" w:themeColor="text1"/>
          <w:sz w:val="22"/>
          <w:szCs w:val="22"/>
          <w:lang w:val="en-US"/>
        </w:rPr>
        <w:t>s</w:t>
      </w:r>
      <w:r w:rsidR="004356EA" w:rsidRPr="004356EA">
        <w:rPr>
          <w:rFonts w:ascii="Trebuchet MS" w:hAnsi="Trebuchet MS"/>
          <w:color w:val="000000" w:themeColor="text1"/>
          <w:sz w:val="22"/>
          <w:szCs w:val="22"/>
          <w:lang w:val="en-US"/>
        </w:rPr>
        <w:t>egue</w:t>
      </w:r>
      <w:r w:rsidRPr="00405DED">
        <w:rPr>
          <w:rFonts w:ascii="Trebuchet MS" w:hAnsi="Trebuchet MS"/>
          <w:color w:val="000000" w:themeColor="text1"/>
          <w:sz w:val="22"/>
          <w:szCs w:val="22"/>
          <w:lang w:val="en-US"/>
        </w:rPr>
        <w:t xml:space="preserve"> into the case studies. Let's walk through what we've </w:t>
      </w:r>
      <w:proofErr w:type="gramStart"/>
      <w:r w:rsidRPr="00405DED">
        <w:rPr>
          <w:rFonts w:ascii="Trebuchet MS" w:hAnsi="Trebuchet MS"/>
          <w:color w:val="000000" w:themeColor="text1"/>
          <w:sz w:val="22"/>
          <w:szCs w:val="22"/>
          <w:lang w:val="en-US"/>
        </w:rPr>
        <w:t>actually seen</w:t>
      </w:r>
      <w:proofErr w:type="gramEnd"/>
      <w:r w:rsidRPr="00405DED">
        <w:rPr>
          <w:rFonts w:ascii="Trebuchet MS" w:hAnsi="Trebuchet MS"/>
          <w:color w:val="000000" w:themeColor="text1"/>
          <w:sz w:val="22"/>
          <w:szCs w:val="22"/>
          <w:lang w:val="en-US"/>
        </w:rPr>
        <w:t xml:space="preserve"> happen in practice</w:t>
      </w:r>
      <w:r w:rsidR="00C7090E">
        <w:rPr>
          <w:rFonts w:ascii="Trebuchet MS" w:hAnsi="Trebuchet MS"/>
          <w:color w:val="000000" w:themeColor="text1"/>
          <w:sz w:val="22"/>
          <w:szCs w:val="22"/>
          <w:lang w:val="en-US"/>
        </w:rPr>
        <w:t>.</w:t>
      </w:r>
    </w:p>
    <w:p w14:paraId="6644BCF7" w14:textId="72FE1A5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Yeah,</w:t>
      </w:r>
      <w:r w:rsidR="004356EA">
        <w:rPr>
          <w:rFonts w:ascii="Trebuchet MS" w:hAnsi="Trebuchet MS"/>
          <w:color w:val="000000" w:themeColor="text1"/>
          <w:sz w:val="22"/>
          <w:szCs w:val="22"/>
          <w:lang w:val="en-US"/>
        </w:rPr>
        <w:t xml:space="preserve"> </w:t>
      </w:r>
      <w:r w:rsidRPr="00405DED">
        <w:rPr>
          <w:rFonts w:ascii="Trebuchet MS" w:hAnsi="Trebuchet MS"/>
          <w:color w:val="000000" w:themeColor="text1"/>
          <w:sz w:val="22"/>
          <w:szCs w:val="22"/>
          <w:lang w:val="en-US"/>
        </w:rPr>
        <w:t>let's start maybe with ExxonMobil because that's one you keep hearing a lot about these days</w:t>
      </w:r>
      <w:r w:rsidR="00C7090E">
        <w:rPr>
          <w:rFonts w:ascii="Trebuchet MS" w:hAnsi="Trebuchet MS"/>
          <w:color w:val="000000" w:themeColor="text1"/>
          <w:sz w:val="22"/>
          <w:szCs w:val="22"/>
          <w:lang w:val="en-US"/>
        </w:rPr>
        <w:t>.</w:t>
      </w:r>
    </w:p>
    <w:p w14:paraId="761247EA" w14:textId="757D42C8"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Yeah, so Exxon's important because it shows this trend isn't limited to companies leaving Delaware.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they </w:t>
      </w:r>
      <w:proofErr w:type="gramStart"/>
      <w:r w:rsidRPr="00405DED">
        <w:rPr>
          <w:rFonts w:ascii="Trebuchet MS" w:hAnsi="Trebuchet MS"/>
          <w:color w:val="000000" w:themeColor="text1"/>
          <w:sz w:val="22"/>
          <w:szCs w:val="22"/>
          <w:lang w:val="en-US"/>
        </w:rPr>
        <w:t>actually moved</w:t>
      </w:r>
      <w:proofErr w:type="gramEnd"/>
      <w:r w:rsidRPr="00405DED">
        <w:rPr>
          <w:rFonts w:ascii="Trebuchet MS" w:hAnsi="Trebuchet MS"/>
          <w:color w:val="000000" w:themeColor="text1"/>
          <w:sz w:val="22"/>
          <w:szCs w:val="22"/>
          <w:lang w:val="en-US"/>
        </w:rPr>
        <w:t xml:space="preserve"> from New Jersey to Texas, and it's a widely held company. It's not controlled or founder-led issuer, which means that institutional investor vote was genuinely decisive in this case</w:t>
      </w:r>
      <w:r w:rsidR="00C7090E">
        <w:rPr>
          <w:rFonts w:ascii="Trebuchet MS" w:hAnsi="Trebuchet MS"/>
          <w:color w:val="000000" w:themeColor="text1"/>
          <w:sz w:val="22"/>
          <w:szCs w:val="22"/>
          <w:lang w:val="en-US"/>
        </w:rPr>
        <w:t>.</w:t>
      </w:r>
    </w:p>
    <w:p w14:paraId="365DC356" w14:textId="0D847F70"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Okay.</w:t>
      </w:r>
      <w:r w:rsidR="004356EA">
        <w:rPr>
          <w:rFonts w:ascii="Trebuchet MS" w:hAnsi="Trebuchet MS"/>
          <w:color w:val="000000" w:themeColor="text1"/>
          <w:sz w:val="22"/>
          <w:szCs w:val="22"/>
          <w:lang w:val="en-US"/>
        </w:rPr>
        <w:t xml:space="preserve"> </w:t>
      </w:r>
      <w:r w:rsidRPr="00405DED">
        <w:rPr>
          <w:rFonts w:ascii="Trebuchet MS" w:hAnsi="Trebuchet MS"/>
          <w:color w:val="000000" w:themeColor="text1"/>
          <w:sz w:val="22"/>
          <w:szCs w:val="22"/>
          <w:lang w:val="en-US"/>
        </w:rPr>
        <w:t>So what do you think made it work?</w:t>
      </w:r>
    </w:p>
    <w:p w14:paraId="461B804D" w14:textId="44105D8F"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I would say three things. Uh, first, Exxon has a credible operational rationale. So as many people are probably aware, it has substantial </w:t>
      </w:r>
      <w:proofErr w:type="gramStart"/>
      <w:r w:rsidRPr="00405DED">
        <w:rPr>
          <w:rFonts w:ascii="Trebuchet MS" w:hAnsi="Trebuchet MS"/>
          <w:color w:val="000000" w:themeColor="text1"/>
          <w:sz w:val="22"/>
          <w:szCs w:val="22"/>
          <w:lang w:val="en-US"/>
        </w:rPr>
        <w:t>connection</w:t>
      </w:r>
      <w:proofErr w:type="gramEnd"/>
      <w:r w:rsidRPr="00405DED">
        <w:rPr>
          <w:rFonts w:ascii="Trebuchet MS" w:hAnsi="Trebuchet MS"/>
          <w:color w:val="000000" w:themeColor="text1"/>
          <w:sz w:val="22"/>
          <w:szCs w:val="22"/>
          <w:lang w:val="en-US"/>
        </w:rPr>
        <w:t xml:space="preserve"> to Texas already, and there's a clear narrative connecting its legal domicile to where its headquarters </w:t>
      </w:r>
      <w:proofErr w:type="gramStart"/>
      <w:r w:rsidRPr="00405DED">
        <w:rPr>
          <w:rFonts w:ascii="Trebuchet MS" w:hAnsi="Trebuchet MS"/>
          <w:color w:val="000000" w:themeColor="text1"/>
          <w:sz w:val="22"/>
          <w:szCs w:val="22"/>
          <w:lang w:val="en-US"/>
        </w:rPr>
        <w:t>actually are</w:t>
      </w:r>
      <w:proofErr w:type="gramEnd"/>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it wasn't really framed as, "Oh, we're trying to escape from an unfavorable jurisdiction."</w:t>
      </w:r>
    </w:p>
    <w:p w14:paraId="2815DD72" w14:textId="5CDA04DB"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It was more like, "We're just trying to align the legal home with the operational reality." And the second thing is they engage extensively with their shareholders. So even after they filed their proxy statement, they followed up with supplemental proxy materials that responded to concerns from </w:t>
      </w:r>
      <w:proofErr w:type="gramStart"/>
      <w:r w:rsidRPr="00405DED">
        <w:rPr>
          <w:rFonts w:ascii="Trebuchet MS" w:hAnsi="Trebuchet MS"/>
          <w:color w:val="000000" w:themeColor="text1"/>
          <w:sz w:val="22"/>
          <w:szCs w:val="22"/>
          <w:lang w:val="en-US"/>
        </w:rPr>
        <w:t>investor</w:t>
      </w:r>
      <w:proofErr w:type="gramEnd"/>
      <w:r w:rsidRPr="00405DED">
        <w:rPr>
          <w:rFonts w:ascii="Trebuchet MS" w:hAnsi="Trebuchet MS"/>
          <w:color w:val="000000" w:themeColor="text1"/>
          <w:sz w:val="22"/>
          <w:szCs w:val="22"/>
          <w:lang w:val="en-US"/>
        </w:rPr>
        <w:t xml:space="preserve"> and proxy advisors</w:t>
      </w:r>
      <w:r w:rsidR="005E0D06">
        <w:rPr>
          <w:rFonts w:ascii="Trebuchet MS" w:hAnsi="Trebuchet MS"/>
          <w:color w:val="000000" w:themeColor="text1"/>
          <w:sz w:val="22"/>
          <w:szCs w:val="22"/>
          <w:lang w:val="en-US"/>
        </w:rPr>
        <w:t xml:space="preserve">. </w:t>
      </w:r>
      <w:r w:rsidRPr="00405DED">
        <w:rPr>
          <w:rFonts w:ascii="Trebuchet MS" w:hAnsi="Trebuchet MS"/>
          <w:color w:val="000000" w:themeColor="text1"/>
          <w:sz w:val="22"/>
          <w:szCs w:val="22"/>
        </w:rPr>
        <w:t xml:space="preserve"> </w:t>
      </w:r>
    </w:p>
    <w:p w14:paraId="69DD1F3A" w14:textId="6177FBD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Third, I would say that they took a selective approach to controversial governance provisions.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in other words, they didn't take the approach of reducing shareholder rights to the max. So large institutional investors supported their incorporation mainly because they presented a credible operational rationale, they engaged extensively with these investors and then, as I said, they avoided unnecessarily reducing shareholder rights</w:t>
      </w:r>
      <w:r w:rsidR="00C7090E">
        <w:rPr>
          <w:rFonts w:ascii="Trebuchet MS" w:hAnsi="Trebuchet MS"/>
          <w:color w:val="000000" w:themeColor="text1"/>
          <w:sz w:val="22"/>
          <w:szCs w:val="22"/>
          <w:lang w:val="en-US"/>
        </w:rPr>
        <w:t>.</w:t>
      </w:r>
    </w:p>
    <w:p w14:paraId="6303D27A" w14:textId="1F1607CA"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Interesting.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John, I guess the takeaway is that </w:t>
      </w:r>
      <w:proofErr w:type="gramStart"/>
      <w:r w:rsidRPr="00405DED">
        <w:rPr>
          <w:rFonts w:ascii="Trebuchet MS" w:hAnsi="Trebuchet MS"/>
          <w:color w:val="000000" w:themeColor="text1"/>
          <w:sz w:val="22"/>
          <w:szCs w:val="22"/>
          <w:lang w:val="en-US"/>
        </w:rPr>
        <w:t>the success</w:t>
      </w:r>
      <w:proofErr w:type="gramEnd"/>
      <w:r w:rsidRPr="00405DED">
        <w:rPr>
          <w:rFonts w:ascii="Trebuchet MS" w:hAnsi="Trebuchet MS"/>
          <w:color w:val="000000" w:themeColor="text1"/>
          <w:sz w:val="22"/>
          <w:szCs w:val="22"/>
          <w:lang w:val="en-US"/>
        </w:rPr>
        <w:t xml:space="preserve"> rests as much on process, narrative, and governance restraint as on the comparative merits of the destination state's law. </w:t>
      </w:r>
    </w:p>
    <w:p w14:paraId="24AE8D6E" w14:textId="7777777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Yeah, that's exactly right</w:t>
      </w:r>
    </w:p>
    <w:p w14:paraId="57747925" w14:textId="5305A426"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Okay.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let's now turn to ArcBest and Texas Capital </w:t>
      </w:r>
      <w:r w:rsidR="005E0D06">
        <w:rPr>
          <w:rFonts w:ascii="Trebuchet MS" w:hAnsi="Trebuchet MS"/>
          <w:color w:val="000000" w:themeColor="text1"/>
          <w:sz w:val="22"/>
          <w:szCs w:val="22"/>
          <w:lang w:val="en-US"/>
        </w:rPr>
        <w:t>B</w:t>
      </w:r>
      <w:r w:rsidRPr="00405DED">
        <w:rPr>
          <w:rFonts w:ascii="Trebuchet MS" w:hAnsi="Trebuchet MS"/>
          <w:color w:val="000000" w:themeColor="text1"/>
          <w:sz w:val="22"/>
          <w:szCs w:val="22"/>
          <w:lang w:val="en-US"/>
        </w:rPr>
        <w:t>an</w:t>
      </w:r>
      <w:r w:rsidR="005E0D06">
        <w:rPr>
          <w:rFonts w:ascii="Trebuchet MS" w:hAnsi="Trebuchet MS"/>
          <w:color w:val="000000" w:themeColor="text1"/>
          <w:sz w:val="22"/>
          <w:szCs w:val="22"/>
          <w:lang w:val="en-US"/>
        </w:rPr>
        <w:t>cs</w:t>
      </w:r>
      <w:r w:rsidRPr="00405DED">
        <w:rPr>
          <w:rFonts w:ascii="Trebuchet MS" w:hAnsi="Trebuchet MS"/>
          <w:color w:val="000000" w:themeColor="text1"/>
          <w:sz w:val="22"/>
          <w:szCs w:val="22"/>
          <w:lang w:val="en-US"/>
        </w:rPr>
        <w:t>hares because these two tell a really, I think, instructive story. Both proposed moving from Delaware to Texas, but only one of them passed</w:t>
      </w:r>
      <w:r w:rsidR="00C7090E">
        <w:rPr>
          <w:rFonts w:ascii="Trebuchet MS" w:hAnsi="Trebuchet MS"/>
          <w:color w:val="000000" w:themeColor="text1"/>
          <w:sz w:val="22"/>
          <w:szCs w:val="22"/>
          <w:lang w:val="en-US"/>
        </w:rPr>
        <w:t>.</w:t>
      </w:r>
    </w:p>
    <w:p w14:paraId="2A586585" w14:textId="1A772A5C"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lastRenderedPageBreak/>
        <w:t>John Clayton:</w:t>
      </w:r>
      <w:r w:rsidRPr="00405DED">
        <w:rPr>
          <w:rFonts w:ascii="Trebuchet MS" w:hAnsi="Trebuchet MS"/>
          <w:color w:val="000000" w:themeColor="text1"/>
          <w:sz w:val="22"/>
          <w:szCs w:val="22"/>
          <w:lang w:val="en-US"/>
        </w:rPr>
        <w:t xml:space="preserve"> Right, and here's what's critical to understand. Glass Lewis and ISS both </w:t>
      </w:r>
      <w:proofErr w:type="gramStart"/>
      <w:r w:rsidRPr="00405DED">
        <w:rPr>
          <w:rFonts w:ascii="Trebuchet MS" w:hAnsi="Trebuchet MS"/>
          <w:color w:val="000000" w:themeColor="text1"/>
          <w:sz w:val="22"/>
          <w:szCs w:val="22"/>
          <w:lang w:val="en-US"/>
        </w:rPr>
        <w:t>recommended against</w:t>
      </w:r>
      <w:proofErr w:type="gramEnd"/>
      <w:r w:rsidRPr="00405DED">
        <w:rPr>
          <w:rFonts w:ascii="Trebuchet MS" w:hAnsi="Trebuchet MS"/>
          <w:color w:val="000000" w:themeColor="text1"/>
          <w:sz w:val="22"/>
          <w:szCs w:val="22"/>
          <w:lang w:val="en-US"/>
        </w:rPr>
        <w:t xml:space="preserve"> the two proposals for each of these companies, but the difference wasn't the proxy advisor support. It was really in how the proposals were designed</w:t>
      </w:r>
      <w:r w:rsidR="00C7090E">
        <w:rPr>
          <w:rFonts w:ascii="Trebuchet MS" w:hAnsi="Trebuchet MS"/>
          <w:color w:val="000000" w:themeColor="text1"/>
          <w:sz w:val="22"/>
          <w:szCs w:val="22"/>
          <w:lang w:val="en-US"/>
        </w:rPr>
        <w:t>.</w:t>
      </w:r>
    </w:p>
    <w:p w14:paraId="1C3B7A6F" w14:textId="7777777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Well, John, can you walk us through the differences?</w:t>
      </w:r>
    </w:p>
    <w:p w14:paraId="30D4A301" w14:textId="68A0DC1E"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Sure. So ArcBest affirmatively opted out of SB </w:t>
      </w:r>
      <w:proofErr w:type="spellStart"/>
      <w:r w:rsidRPr="00405DED">
        <w:rPr>
          <w:rFonts w:ascii="Trebuchet MS" w:hAnsi="Trebuchet MS"/>
          <w:color w:val="000000" w:themeColor="text1"/>
          <w:sz w:val="22"/>
          <w:szCs w:val="22"/>
          <w:lang w:val="en-US"/>
        </w:rPr>
        <w:t>29's</w:t>
      </w:r>
      <w:proofErr w:type="spellEnd"/>
      <w:r w:rsidRPr="00405DED">
        <w:rPr>
          <w:rFonts w:ascii="Trebuchet MS" w:hAnsi="Trebuchet MS"/>
          <w:color w:val="000000" w:themeColor="text1"/>
          <w:sz w:val="22"/>
          <w:szCs w:val="22"/>
          <w:lang w:val="en-US"/>
        </w:rPr>
        <w:t xml:space="preserve"> derivative suit ownership threshold and its shareholder proposal limitations.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what this means is even though ArcBest was moving to Texas, it was preserving existing shareholder rights. It presented a relatively tailored proposal with meaningful connection to Texas and a restrained approach to the optional governance provision that Texas makes available</w:t>
      </w:r>
      <w:r w:rsidR="00C7090E">
        <w:rPr>
          <w:rFonts w:ascii="Trebuchet MS" w:hAnsi="Trebuchet MS"/>
          <w:color w:val="000000" w:themeColor="text1"/>
          <w:sz w:val="22"/>
          <w:szCs w:val="22"/>
          <w:lang w:val="en-US"/>
        </w:rPr>
        <w:t>.</w:t>
      </w:r>
    </w:p>
    <w:p w14:paraId="687E3D6B" w14:textId="353906CA"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Okay. And then what about Texas Capital Bank shares?</w:t>
      </w:r>
    </w:p>
    <w:p w14:paraId="4E072CD4" w14:textId="7E295CC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what they did is they bundled their reincorporation proposal with an advisory vote to raise the shareholder proposal threshold to three percent of outstanding shares. So that's a governance-reducing feature.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this proposal signaled to investors that the company was using the reincorporation as an opportunity to cut back on shareholder rights</w:t>
      </w:r>
      <w:r w:rsidR="00C7090E">
        <w:rPr>
          <w:rFonts w:ascii="Trebuchet MS" w:hAnsi="Trebuchet MS"/>
          <w:color w:val="000000" w:themeColor="text1"/>
          <w:sz w:val="22"/>
          <w:szCs w:val="22"/>
          <w:lang w:val="en-US"/>
        </w:rPr>
        <w:t>.</w:t>
      </w:r>
    </w:p>
    <w:p w14:paraId="044F9DA2" w14:textId="13D98ED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Okay, so what I think you're saying then is the lesson is that the destination state isn't usually necessarily the decisive issue</w:t>
      </w:r>
      <w:r w:rsidR="00C7090E">
        <w:rPr>
          <w:rFonts w:ascii="Trebuchet MS" w:hAnsi="Trebuchet MS"/>
          <w:color w:val="000000" w:themeColor="text1"/>
          <w:sz w:val="22"/>
          <w:szCs w:val="22"/>
          <w:lang w:val="en-US"/>
        </w:rPr>
        <w:t>.</w:t>
      </w:r>
    </w:p>
    <w:p w14:paraId="7D5EF071" w14:textId="1C48D540"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That's exactly right.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investors can and do oppose a proposal if the governance provisions bundled with the move reduce their rights. It's not just about reincorporating to Texas as a state. I think the comparison between ArcBest and Texas Capital Bank shares shows that clearly</w:t>
      </w:r>
      <w:r w:rsidR="00C7090E">
        <w:rPr>
          <w:rFonts w:ascii="Trebuchet MS" w:hAnsi="Trebuchet MS"/>
          <w:color w:val="000000" w:themeColor="text1"/>
          <w:sz w:val="22"/>
          <w:szCs w:val="22"/>
          <w:lang w:val="en-US"/>
        </w:rPr>
        <w:t>.</w:t>
      </w:r>
    </w:p>
    <w:p w14:paraId="3E3B1FC7" w14:textId="7777777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Okay, and there's been a couple of events that's happened since then. Where does Texas Capital stand now?</w:t>
      </w:r>
    </w:p>
    <w:p w14:paraId="7D3EF187" w14:textId="638C5761"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it's still developing. The vote at Texas Capital's annual meeting in April failed, and that was about 45% in favor and 55% opposed. And their CEO hasn't been quiet about it. In fact, in a recent earnings call, he called a proxy advisory </w:t>
      </w:r>
      <w:proofErr w:type="gramStart"/>
      <w:r w:rsidRPr="00405DED">
        <w:rPr>
          <w:rFonts w:ascii="Trebuchet MS" w:hAnsi="Trebuchet MS"/>
          <w:color w:val="000000" w:themeColor="text1"/>
          <w:sz w:val="22"/>
          <w:szCs w:val="22"/>
          <w:lang w:val="en-US"/>
        </w:rPr>
        <w:t>firms</w:t>
      </w:r>
      <w:proofErr w:type="gramEnd"/>
      <w:r w:rsidRPr="00405DED">
        <w:rPr>
          <w:rFonts w:ascii="Trebuchet MS" w:hAnsi="Trebuchet MS"/>
          <w:color w:val="000000" w:themeColor="text1"/>
          <w:sz w:val="22"/>
          <w:szCs w:val="22"/>
          <w:lang w:val="en-US"/>
        </w:rPr>
        <w:t xml:space="preserve"> irresponsible and uninformed and said they have too much power.</w:t>
      </w:r>
    </w:p>
    <w:p w14:paraId="72C4B8E2" w14:textId="3129AC40"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He went on to say that he intends to bring the proposal back</w:t>
      </w:r>
      <w:r w:rsidR="00C7090E">
        <w:rPr>
          <w:rFonts w:ascii="Trebuchet MS" w:hAnsi="Trebuchet MS"/>
          <w:color w:val="000000" w:themeColor="text1"/>
          <w:sz w:val="22"/>
          <w:szCs w:val="22"/>
          <w:lang w:val="en-US"/>
        </w:rPr>
        <w:t>.</w:t>
      </w:r>
    </w:p>
    <w:p w14:paraId="7FF5A537" w14:textId="1A011DC6"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I mean, is that realistic? Does the company have a credible path for a second attempt?</w:t>
      </w:r>
    </w:p>
    <w:p w14:paraId="0DD03D93" w14:textId="6C4657C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Uh, possibly.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they're performing well, which is always helpful. Their profits grew, uh, ten percent in the second quarter. Their total revenue grew, and the CEO has also been making affirmative case for Texas, pointing to the business judgment rule updates, SB </w:t>
      </w:r>
      <w:proofErr w:type="spellStart"/>
      <w:r w:rsidRPr="00405DED">
        <w:rPr>
          <w:rFonts w:ascii="Trebuchet MS" w:hAnsi="Trebuchet MS"/>
          <w:color w:val="000000" w:themeColor="text1"/>
          <w:sz w:val="22"/>
          <w:szCs w:val="22"/>
          <w:lang w:val="en-US"/>
        </w:rPr>
        <w:t>29's</w:t>
      </w:r>
      <w:proofErr w:type="spellEnd"/>
      <w:r w:rsidRPr="00405DED">
        <w:rPr>
          <w:rFonts w:ascii="Trebuchet MS" w:hAnsi="Trebuchet MS"/>
          <w:color w:val="000000" w:themeColor="text1"/>
          <w:sz w:val="22"/>
          <w:szCs w:val="22"/>
          <w:lang w:val="en-US"/>
        </w:rPr>
        <w:t xml:space="preserve"> procedural reforms, the </w:t>
      </w:r>
      <w:proofErr w:type="gramStart"/>
      <w:r w:rsidRPr="00405DED">
        <w:rPr>
          <w:rFonts w:ascii="Trebuchet MS" w:hAnsi="Trebuchet MS"/>
          <w:color w:val="000000" w:themeColor="text1"/>
          <w:sz w:val="22"/>
          <w:szCs w:val="22"/>
          <w:lang w:val="en-US"/>
        </w:rPr>
        <w:t>Texas  Business</w:t>
      </w:r>
      <w:proofErr w:type="gramEnd"/>
      <w:r w:rsidRPr="00405DED">
        <w:rPr>
          <w:rFonts w:ascii="Trebuchet MS" w:hAnsi="Trebuchet MS"/>
          <w:color w:val="000000" w:themeColor="text1"/>
          <w:sz w:val="22"/>
          <w:szCs w:val="22"/>
          <w:lang w:val="en-US"/>
        </w:rPr>
        <w:t xml:space="preserve"> Court, and estimated cost savings from moving from Delaware to Texas.</w:t>
      </w:r>
    </w:p>
    <w:p w14:paraId="08D6D6FE" w14:textId="26C1EF5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the question really is whether the company can restructure the proposal itself to address the governance concerns that sank it the first time</w:t>
      </w:r>
      <w:r w:rsidR="00C7090E">
        <w:rPr>
          <w:rFonts w:ascii="Trebuchet MS" w:hAnsi="Trebuchet MS"/>
          <w:color w:val="000000" w:themeColor="text1"/>
          <w:sz w:val="22"/>
          <w:szCs w:val="22"/>
          <w:lang w:val="en-US"/>
        </w:rPr>
        <w:t>.</w:t>
      </w:r>
    </w:p>
    <w:p w14:paraId="350296A8" w14:textId="116E6B1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lastRenderedPageBreak/>
        <w:t>Stephanie:</w:t>
      </w:r>
      <w:r w:rsidRPr="00405DED">
        <w:rPr>
          <w:rFonts w:ascii="Trebuchet MS" w:hAnsi="Trebuchet MS"/>
          <w:color w:val="000000" w:themeColor="text1"/>
          <w:sz w:val="22"/>
          <w:szCs w:val="22"/>
          <w:lang w:val="en-US"/>
        </w:rPr>
        <w:t xml:space="preserve"> Okay. So really, Texas Capital is a story to keep watching. But stepping back, there's also an SEC dimension here to the bundling question, isn't there?</w:t>
      </w:r>
    </w:p>
    <w:p w14:paraId="3F5A7057" w14:textId="32C2D04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That's right.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SEC Exchange Act Rule </w:t>
      </w:r>
      <w:proofErr w:type="spellStart"/>
      <w:r w:rsidRPr="00405DED">
        <w:rPr>
          <w:rFonts w:ascii="Trebuchet MS" w:hAnsi="Trebuchet MS"/>
          <w:color w:val="000000" w:themeColor="text1"/>
          <w:sz w:val="22"/>
          <w:szCs w:val="22"/>
          <w:lang w:val="en-US"/>
        </w:rPr>
        <w:t>14a</w:t>
      </w:r>
      <w:proofErr w:type="spellEnd"/>
      <w:r w:rsidRPr="00405DED">
        <w:rPr>
          <w:rFonts w:ascii="Trebuchet MS" w:hAnsi="Trebuchet MS"/>
          <w:color w:val="000000" w:themeColor="text1"/>
          <w:sz w:val="22"/>
          <w:szCs w:val="22"/>
          <w:lang w:val="en-US"/>
        </w:rPr>
        <w:t xml:space="preserve">-4 requires the form of proxy to identify each separate matter and give shareholders a way to vote on each one separately.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the SEC staff has said that multiple material matters generally shouldn't be bundled into a single proposal.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for a board planning,</w:t>
      </w:r>
      <w:r w:rsidR="005E0D06">
        <w:rPr>
          <w:rFonts w:ascii="Trebuchet MS" w:hAnsi="Trebuchet MS"/>
          <w:color w:val="000000" w:themeColor="text1"/>
          <w:sz w:val="22"/>
          <w:szCs w:val="22"/>
          <w:lang w:val="en-US"/>
        </w:rPr>
        <w:t xml:space="preserve"> </w:t>
      </w:r>
      <w:r w:rsidRPr="00405DED">
        <w:rPr>
          <w:rFonts w:ascii="Trebuchet MS" w:hAnsi="Trebuchet MS"/>
          <w:color w:val="000000" w:themeColor="text1"/>
          <w:sz w:val="22"/>
          <w:szCs w:val="22"/>
          <w:lang w:val="en-US"/>
        </w:rPr>
        <w:t>a reincorporation proposal, I think the practical lesson is they should consider separating the jurisdictional decision from the optional governance changes.</w:t>
      </w:r>
    </w:p>
    <w:p w14:paraId="0B94941F" w14:textId="79079925"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And if you want those provisions, presenting them as a distinct vote item gives investors a cleaner choice and reduces the risk that opposition of one sinks the whole reincorporation</w:t>
      </w:r>
      <w:r w:rsidR="00C7090E">
        <w:rPr>
          <w:rFonts w:ascii="Trebuchet MS" w:hAnsi="Trebuchet MS"/>
          <w:color w:val="000000" w:themeColor="text1"/>
          <w:sz w:val="22"/>
          <w:szCs w:val="22"/>
          <w:lang w:val="en-US"/>
        </w:rPr>
        <w:t>.</w:t>
      </w:r>
    </w:p>
    <w:p w14:paraId="5E032CEC" w14:textId="5B2E7216"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rPr>
        <w:t xml:space="preserve"> </w:t>
      </w:r>
      <w:r w:rsidRPr="00405DED">
        <w:rPr>
          <w:rFonts w:ascii="Trebuchet MS" w:hAnsi="Trebuchet MS"/>
          <w:color w:val="000000" w:themeColor="text1"/>
          <w:sz w:val="22"/>
          <w:szCs w:val="22"/>
          <w:lang w:val="en-US"/>
        </w:rPr>
        <w:t xml:space="preserve">Okay, so let's wrap up with the case studies and the key practical takeaways. John, what should </w:t>
      </w:r>
      <w:proofErr w:type="gramStart"/>
      <w:r w:rsidRPr="00405DED">
        <w:rPr>
          <w:rFonts w:ascii="Trebuchet MS" w:hAnsi="Trebuchet MS"/>
          <w:color w:val="000000" w:themeColor="text1"/>
          <w:sz w:val="22"/>
          <w:szCs w:val="22"/>
          <w:lang w:val="en-US"/>
        </w:rPr>
        <w:t>boards</w:t>
      </w:r>
      <w:proofErr w:type="gramEnd"/>
      <w:r w:rsidRPr="00405DED">
        <w:rPr>
          <w:rFonts w:ascii="Trebuchet MS" w:hAnsi="Trebuchet MS"/>
          <w:color w:val="000000" w:themeColor="text1"/>
          <w:sz w:val="22"/>
          <w:szCs w:val="22"/>
          <w:lang w:val="en-US"/>
        </w:rPr>
        <w:t xml:space="preserve"> and investors be taking away from ExxonMobil, ArcBest, and Texas Capital Bancshares? </w:t>
      </w:r>
    </w:p>
    <w:p w14:paraId="3ADF3466" w14:textId="5388227D"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for boards, I'd summarize it this way. First, document the business rationale contemporaneously. Don't try to reconstruct it after the fact. Second, engage investors early before the proxy's filed, so you can </w:t>
      </w:r>
      <w:proofErr w:type="gramStart"/>
      <w:r w:rsidRPr="00405DED">
        <w:rPr>
          <w:rFonts w:ascii="Trebuchet MS" w:hAnsi="Trebuchet MS"/>
          <w:color w:val="000000" w:themeColor="text1"/>
          <w:sz w:val="22"/>
          <w:szCs w:val="22"/>
          <w:lang w:val="en-US"/>
        </w:rPr>
        <w:t>actually influence</w:t>
      </w:r>
      <w:proofErr w:type="gramEnd"/>
      <w:r w:rsidRPr="00405DED">
        <w:rPr>
          <w:rFonts w:ascii="Trebuchet MS" w:hAnsi="Trebuchet MS"/>
          <w:color w:val="000000" w:themeColor="text1"/>
          <w:sz w:val="22"/>
          <w:szCs w:val="22"/>
          <w:lang w:val="en-US"/>
        </w:rPr>
        <w:t xml:space="preserve"> the structure of the proposal. And then third, separate the jurisdictional decision from the optional governance changes.</w:t>
      </w:r>
      <w:r w:rsidRPr="00405DED">
        <w:rPr>
          <w:rFonts w:ascii="Trebuchet MS" w:hAnsi="Trebuchet MS"/>
          <w:color w:val="000000" w:themeColor="text1"/>
          <w:sz w:val="22"/>
          <w:szCs w:val="22"/>
        </w:rPr>
        <w:t xml:space="preserve"> </w:t>
      </w:r>
    </w:p>
    <w:p w14:paraId="1FE9FEA7" w14:textId="338B17A7"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A company doesn't need to adopt every management protective provision the destination state offers just because it's reincorporating. And then fourth, expect the process to be complex and multi-regulatory.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engage transaction counsel, proxy solicitors, and insurance advisors well in advance</w:t>
      </w:r>
      <w:r w:rsidR="00C7090E">
        <w:rPr>
          <w:rFonts w:ascii="Trebuchet MS" w:hAnsi="Trebuchet MS"/>
          <w:color w:val="000000" w:themeColor="text1"/>
          <w:sz w:val="22"/>
          <w:szCs w:val="22"/>
          <w:lang w:val="en-US"/>
        </w:rPr>
        <w:t>.</w:t>
      </w:r>
    </w:p>
    <w:p w14:paraId="6EDB1F16" w14:textId="1F0CD208"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Okay, that makes sense. And what about for investors?</w:t>
      </w:r>
      <w:r w:rsidRPr="00405DED">
        <w:rPr>
          <w:rFonts w:ascii="Trebuchet MS" w:hAnsi="Trebuchet MS"/>
          <w:color w:val="000000" w:themeColor="text1"/>
          <w:sz w:val="22"/>
          <w:szCs w:val="22"/>
        </w:rPr>
        <w:t xml:space="preserve"> </w:t>
      </w:r>
    </w:p>
    <w:p w14:paraId="674487B3" w14:textId="6542A723"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For investors, the framework's essentially the mirror image. </w:t>
      </w:r>
      <w:proofErr w:type="gramStart"/>
      <w:r w:rsidRPr="00405DED">
        <w:rPr>
          <w:rFonts w:ascii="Trebuchet MS" w:hAnsi="Trebuchet MS"/>
          <w:color w:val="000000" w:themeColor="text1"/>
          <w:sz w:val="22"/>
          <w:szCs w:val="22"/>
          <w:lang w:val="en-US"/>
        </w:rPr>
        <w:t>So</w:t>
      </w:r>
      <w:proofErr w:type="gramEnd"/>
      <w:r w:rsidRPr="00405DED">
        <w:rPr>
          <w:rFonts w:ascii="Trebuchet MS" w:hAnsi="Trebuchet MS"/>
          <w:color w:val="000000" w:themeColor="text1"/>
          <w:sz w:val="22"/>
          <w:szCs w:val="22"/>
          <w:lang w:val="en-US"/>
        </w:rPr>
        <w:t xml:space="preserve"> evaluate not just the destination jurisdiction, but the specific package of rights being preserved, modified, or even eliminated. And look at whether the company's controlled or widely held. I think when it's, um, widely held, there's more leverage by </w:t>
      </w:r>
      <w:proofErr w:type="spellStart"/>
      <w:proofErr w:type="gramStart"/>
      <w:r w:rsidRPr="00405DED">
        <w:rPr>
          <w:rFonts w:ascii="Trebuchet MS" w:hAnsi="Trebuchet MS"/>
          <w:color w:val="000000" w:themeColor="text1"/>
          <w:sz w:val="22"/>
          <w:szCs w:val="22"/>
          <w:lang w:val="en-US"/>
        </w:rPr>
        <w:t>a</w:t>
      </w:r>
      <w:proofErr w:type="spellEnd"/>
      <w:proofErr w:type="gramEnd"/>
      <w:r w:rsidRPr="00405DED">
        <w:rPr>
          <w:rFonts w:ascii="Trebuchet MS" w:hAnsi="Trebuchet MS"/>
          <w:color w:val="000000" w:themeColor="text1"/>
          <w:sz w:val="22"/>
          <w:szCs w:val="22"/>
          <w:lang w:val="en-US"/>
        </w:rPr>
        <w:t xml:space="preserve"> institutional shareholder or a shareholder block, so that affects the leverage.</w:t>
      </w:r>
    </w:p>
    <w:p w14:paraId="4B16CFD8" w14:textId="7A173B34"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t>John Clayton:</w:t>
      </w:r>
      <w:r w:rsidRPr="00405DED">
        <w:rPr>
          <w:rFonts w:ascii="Trebuchet MS" w:hAnsi="Trebuchet MS"/>
          <w:color w:val="000000" w:themeColor="text1"/>
          <w:sz w:val="22"/>
          <w:szCs w:val="22"/>
          <w:lang w:val="en-US"/>
        </w:rPr>
        <w:t xml:space="preserve"> And then distinguish between clean proposals that preserve existing rights and those that bundle reincorporation with governance-reducing features. And as, as noted earlier with the successful case studies, engage early with companies considering a move. The 2026 proxy season has shown that investors have real leverage, and the well-designed engagement can change outcomes</w:t>
      </w:r>
      <w:r w:rsidR="00C7090E">
        <w:rPr>
          <w:rFonts w:ascii="Trebuchet MS" w:hAnsi="Trebuchet MS"/>
          <w:color w:val="000000" w:themeColor="text1"/>
          <w:sz w:val="22"/>
          <w:szCs w:val="22"/>
          <w:lang w:val="en-US"/>
        </w:rPr>
        <w:t>.</w:t>
      </w:r>
    </w:p>
    <w:p w14:paraId="453067F0" w14:textId="68473C6A"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That seems like the overarching theme here, that reincorporation should be treated as a continuing corporate governance decision, not just a transaction that's finished once the state filings become effective</w:t>
      </w:r>
      <w:r w:rsidR="00C7090E">
        <w:rPr>
          <w:rFonts w:ascii="Trebuchet MS" w:hAnsi="Trebuchet MS"/>
          <w:color w:val="000000" w:themeColor="text1"/>
          <w:sz w:val="22"/>
          <w:szCs w:val="22"/>
          <w:lang w:val="en-US"/>
        </w:rPr>
        <w:t>.</w:t>
      </w:r>
    </w:p>
    <w:p w14:paraId="6D102D30" w14:textId="0FE59889"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Yes. John, thank you so much for walking us through the mechanics in these case studies. It's </w:t>
      </w:r>
      <w:proofErr w:type="gramStart"/>
      <w:r w:rsidRPr="00405DED">
        <w:rPr>
          <w:rFonts w:ascii="Trebuchet MS" w:hAnsi="Trebuchet MS"/>
          <w:color w:val="000000" w:themeColor="text1"/>
          <w:sz w:val="22"/>
          <w:szCs w:val="22"/>
          <w:lang w:val="en-US"/>
        </w:rPr>
        <w:t>really helpful</w:t>
      </w:r>
      <w:proofErr w:type="gramEnd"/>
      <w:r w:rsidRPr="00405DED">
        <w:rPr>
          <w:rFonts w:ascii="Trebuchet MS" w:hAnsi="Trebuchet MS"/>
          <w:color w:val="000000" w:themeColor="text1"/>
          <w:sz w:val="22"/>
          <w:szCs w:val="22"/>
          <w:lang w:val="en-US"/>
        </w:rPr>
        <w:t xml:space="preserve"> to see how this plays out in practice</w:t>
      </w:r>
      <w:r w:rsidR="00C7090E">
        <w:rPr>
          <w:rFonts w:ascii="Trebuchet MS" w:hAnsi="Trebuchet MS"/>
          <w:color w:val="000000" w:themeColor="text1"/>
          <w:sz w:val="22"/>
          <w:szCs w:val="22"/>
          <w:lang w:val="en-US"/>
        </w:rPr>
        <w:t>.</w:t>
      </w:r>
    </w:p>
    <w:p w14:paraId="20A283D3" w14:textId="76197411"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lang w:val="en-US"/>
        </w:rPr>
        <w:lastRenderedPageBreak/>
        <w:t>John Clayton:</w:t>
      </w:r>
      <w:r w:rsidRPr="00405DED">
        <w:rPr>
          <w:rFonts w:ascii="Trebuchet MS" w:hAnsi="Trebuchet MS"/>
          <w:color w:val="000000" w:themeColor="text1"/>
          <w:sz w:val="22"/>
          <w:szCs w:val="22"/>
          <w:lang w:val="en-US"/>
        </w:rPr>
        <w:t xml:space="preserve"> Thanks for having me, it's a great conversation</w:t>
      </w:r>
      <w:r w:rsidR="00C7090E">
        <w:rPr>
          <w:rFonts w:ascii="Trebuchet MS" w:hAnsi="Trebuchet MS"/>
          <w:color w:val="000000" w:themeColor="text1"/>
          <w:sz w:val="22"/>
          <w:szCs w:val="22"/>
          <w:lang w:val="en-US"/>
        </w:rPr>
        <w:t>.</w:t>
      </w:r>
    </w:p>
    <w:p w14:paraId="6722D796" w14:textId="52DFAFAA"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lang w:val="en-US"/>
        </w:rPr>
        <w:t xml:space="preserve"> For our listeners, if you </w:t>
      </w:r>
      <w:proofErr w:type="spellStart"/>
      <w:r w:rsidRPr="00405DED">
        <w:rPr>
          <w:rFonts w:ascii="Trebuchet MS" w:hAnsi="Trebuchet MS"/>
          <w:color w:val="000000" w:themeColor="text1"/>
          <w:sz w:val="22"/>
          <w:szCs w:val="22"/>
          <w:lang w:val="en-US"/>
        </w:rPr>
        <w:t>wanna</w:t>
      </w:r>
      <w:proofErr w:type="spellEnd"/>
      <w:r w:rsidRPr="00405DED">
        <w:rPr>
          <w:rFonts w:ascii="Trebuchet MS" w:hAnsi="Trebuchet MS"/>
          <w:color w:val="000000" w:themeColor="text1"/>
          <w:sz w:val="22"/>
          <w:szCs w:val="22"/>
          <w:lang w:val="en-US"/>
        </w:rPr>
        <w:t xml:space="preserve"> go deeper on any of this, A</w:t>
      </w:r>
      <w:r w:rsidR="00BD59DB">
        <w:rPr>
          <w:rFonts w:ascii="Trebuchet MS" w:hAnsi="Trebuchet MS"/>
          <w:color w:val="000000" w:themeColor="text1"/>
          <w:sz w:val="22"/>
          <w:szCs w:val="22"/>
          <w:lang w:val="en-US"/>
        </w:rPr>
        <w:t>ki</w:t>
      </w:r>
      <w:r w:rsidRPr="00405DED">
        <w:rPr>
          <w:rFonts w:ascii="Trebuchet MS" w:hAnsi="Trebuchet MS"/>
          <w:color w:val="000000" w:themeColor="text1"/>
          <w:sz w:val="22"/>
          <w:szCs w:val="22"/>
          <w:lang w:val="en-US"/>
        </w:rPr>
        <w:t xml:space="preserve">n's two articles, "Is It Time to </w:t>
      </w:r>
      <w:proofErr w:type="spellStart"/>
      <w:r w:rsidRPr="00405DED">
        <w:rPr>
          <w:rFonts w:ascii="Trebuchet MS" w:hAnsi="Trebuchet MS"/>
          <w:color w:val="000000" w:themeColor="text1"/>
          <w:sz w:val="22"/>
          <w:szCs w:val="22"/>
          <w:lang w:val="en-US"/>
        </w:rPr>
        <w:t>DE</w:t>
      </w:r>
      <w:r w:rsidR="0065593A">
        <w:rPr>
          <w:rFonts w:ascii="Trebuchet MS" w:hAnsi="Trebuchet MS"/>
          <w:color w:val="000000" w:themeColor="text1"/>
          <w:sz w:val="22"/>
          <w:szCs w:val="22"/>
          <w:lang w:val="en-US"/>
        </w:rPr>
        <w:t>xit</w:t>
      </w:r>
      <w:proofErr w:type="spellEnd"/>
      <w:r w:rsidRPr="00405DED">
        <w:rPr>
          <w:rFonts w:ascii="Trebuchet MS" w:hAnsi="Trebuchet MS"/>
          <w:color w:val="000000" w:themeColor="text1"/>
          <w:sz w:val="22"/>
          <w:szCs w:val="22"/>
          <w:lang w:val="en-US"/>
        </w:rPr>
        <w:t>? A Guide for Boards" and "</w:t>
      </w:r>
      <w:proofErr w:type="spellStart"/>
      <w:r w:rsidRPr="00405DED">
        <w:rPr>
          <w:rFonts w:ascii="Trebuchet MS" w:hAnsi="Trebuchet MS"/>
          <w:color w:val="000000" w:themeColor="text1"/>
          <w:sz w:val="22"/>
          <w:szCs w:val="22"/>
          <w:lang w:val="en-US"/>
        </w:rPr>
        <w:t>DE</w:t>
      </w:r>
      <w:r w:rsidR="0065593A">
        <w:rPr>
          <w:rFonts w:ascii="Trebuchet MS" w:hAnsi="Trebuchet MS"/>
          <w:color w:val="000000" w:themeColor="text1"/>
          <w:sz w:val="22"/>
          <w:szCs w:val="22"/>
          <w:lang w:val="en-US"/>
        </w:rPr>
        <w:t>xit</w:t>
      </w:r>
      <w:proofErr w:type="spellEnd"/>
      <w:r w:rsidRPr="00405DED">
        <w:rPr>
          <w:rFonts w:ascii="Trebuchet MS" w:hAnsi="Trebuchet MS"/>
          <w:color w:val="000000" w:themeColor="text1"/>
          <w:sz w:val="22"/>
          <w:szCs w:val="22"/>
          <w:lang w:val="en-US"/>
        </w:rPr>
        <w:t xml:space="preserve">: The Reincorporation Decision, A Guide for Investors" </w:t>
      </w:r>
      <w:proofErr w:type="gramStart"/>
      <w:r w:rsidRPr="00405DED">
        <w:rPr>
          <w:rFonts w:ascii="Trebuchet MS" w:hAnsi="Trebuchet MS"/>
          <w:color w:val="000000" w:themeColor="text1"/>
          <w:sz w:val="22"/>
          <w:szCs w:val="22"/>
          <w:lang w:val="en-US"/>
        </w:rPr>
        <w:t>covers</w:t>
      </w:r>
      <w:proofErr w:type="gramEnd"/>
      <w:r w:rsidRPr="00405DED">
        <w:rPr>
          <w:rFonts w:ascii="Trebuchet MS" w:hAnsi="Trebuchet MS"/>
          <w:color w:val="000000" w:themeColor="text1"/>
          <w:sz w:val="22"/>
          <w:szCs w:val="22"/>
          <w:lang w:val="en-US"/>
        </w:rPr>
        <w:t xml:space="preserve"> the full framework of what we discussed today</w:t>
      </w:r>
      <w:r w:rsidR="00C7090E">
        <w:rPr>
          <w:rFonts w:ascii="Trebuchet MS" w:hAnsi="Trebuchet MS"/>
          <w:color w:val="000000" w:themeColor="text1"/>
          <w:sz w:val="22"/>
          <w:szCs w:val="22"/>
          <w:lang w:val="en-US"/>
        </w:rPr>
        <w:t>.</w:t>
      </w:r>
    </w:p>
    <w:p w14:paraId="3EB58E5A" w14:textId="2A9BE0D2"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9C5DE1"/>
        </w:rPr>
        <w:t>Stephanie:</w:t>
      </w:r>
      <w:r w:rsidRPr="00405DED">
        <w:rPr>
          <w:rFonts w:ascii="Trebuchet MS" w:hAnsi="Trebuchet MS"/>
          <w:color w:val="000000" w:themeColor="text1"/>
          <w:sz w:val="22"/>
          <w:szCs w:val="22"/>
          <w:lang w:val="en-US"/>
        </w:rPr>
        <w:t xml:space="preserve"> And that's a wrap for episode 12 of the Business Court Benches entitled "</w:t>
      </w:r>
      <w:proofErr w:type="spellStart"/>
      <w:r w:rsidR="00BD59DB">
        <w:rPr>
          <w:rFonts w:ascii="Trebuchet MS" w:hAnsi="Trebuchet MS"/>
          <w:color w:val="000000" w:themeColor="text1"/>
          <w:sz w:val="22"/>
          <w:szCs w:val="22"/>
          <w:lang w:val="en-US"/>
        </w:rPr>
        <w:t>D</w:t>
      </w:r>
      <w:r w:rsidR="0065593A">
        <w:rPr>
          <w:rFonts w:ascii="Trebuchet MS" w:hAnsi="Trebuchet MS"/>
          <w:color w:val="000000" w:themeColor="text1"/>
          <w:sz w:val="22"/>
          <w:szCs w:val="22"/>
          <w:lang w:val="en-US"/>
        </w:rPr>
        <w:t>Exit</w:t>
      </w:r>
      <w:proofErr w:type="spellEnd"/>
      <w:r w:rsidRPr="00405DED">
        <w:rPr>
          <w:rFonts w:ascii="Trebuchet MS" w:hAnsi="Trebuchet MS"/>
          <w:color w:val="000000" w:themeColor="text1"/>
          <w:sz w:val="22"/>
          <w:szCs w:val="22"/>
          <w:lang w:val="en-US"/>
        </w:rPr>
        <w:t xml:space="preserve">: A Practical Guide Through Real World </w:t>
      </w:r>
      <w:proofErr w:type="spellStart"/>
      <w:r w:rsidRPr="00405DED">
        <w:rPr>
          <w:rFonts w:ascii="Trebuchet MS" w:hAnsi="Trebuchet MS"/>
          <w:color w:val="000000" w:themeColor="text1"/>
          <w:sz w:val="22"/>
          <w:szCs w:val="22"/>
          <w:lang w:val="en-US"/>
        </w:rPr>
        <w:t>Reincorporations</w:t>
      </w:r>
      <w:proofErr w:type="spellEnd"/>
      <w:r w:rsidRPr="00405DED">
        <w:rPr>
          <w:rFonts w:ascii="Trebuchet MS" w:hAnsi="Trebuchet MS"/>
          <w:color w:val="000000" w:themeColor="text1"/>
          <w:sz w:val="22"/>
          <w:szCs w:val="22"/>
          <w:lang w:val="en-US"/>
        </w:rPr>
        <w:t>." I'm your co-host, Stephanie Lindemuth, a litigation partner in Akin's New York office</w:t>
      </w:r>
      <w:r w:rsidR="00C7090E">
        <w:rPr>
          <w:rFonts w:ascii="Trebuchet MS" w:hAnsi="Trebuchet MS"/>
          <w:color w:val="000000" w:themeColor="text1"/>
          <w:sz w:val="22"/>
          <w:szCs w:val="22"/>
          <w:lang w:val="en-US"/>
        </w:rPr>
        <w:t>.</w:t>
      </w:r>
    </w:p>
    <w:p w14:paraId="5622EC02" w14:textId="1BED05EF" w:rsidR="009E36A0" w:rsidRPr="00405DED" w:rsidRDefault="00000000" w:rsidP="00BD59DB">
      <w:pPr>
        <w:pStyle w:val="Script"/>
        <w:rPr>
          <w:rFonts w:ascii="Trebuchet MS" w:hAnsi="Trebuchet MS"/>
          <w:color w:val="000000" w:themeColor="text1"/>
          <w:sz w:val="22"/>
          <w:szCs w:val="22"/>
        </w:rPr>
      </w:pPr>
      <w:r w:rsidRPr="00405DED">
        <w:rPr>
          <w:rFonts w:ascii="Trebuchet MS" w:hAnsi="Trebuchet MS"/>
          <w:b/>
          <w:bCs/>
          <w:color w:val="000000" w:themeColor="text1"/>
          <w:sz w:val="22"/>
          <w:szCs w:val="22"/>
          <w:u w:color="489872"/>
        </w:rPr>
        <w:t>Scott:</w:t>
      </w:r>
      <w:r w:rsidRPr="00405DED">
        <w:rPr>
          <w:rFonts w:ascii="Trebuchet MS" w:hAnsi="Trebuchet MS"/>
          <w:color w:val="000000" w:themeColor="text1"/>
          <w:sz w:val="22"/>
          <w:szCs w:val="22"/>
        </w:rPr>
        <w:t xml:space="preserve"> </w:t>
      </w:r>
      <w:r w:rsidRPr="00405DED">
        <w:rPr>
          <w:rFonts w:ascii="Trebuchet MS" w:hAnsi="Trebuchet MS"/>
          <w:color w:val="000000" w:themeColor="text1"/>
          <w:sz w:val="22"/>
          <w:szCs w:val="22"/>
          <w:lang w:val="en-US"/>
        </w:rPr>
        <w:t>And I'm your co-host, Scott B</w:t>
      </w:r>
      <w:r w:rsidR="006D6DEC" w:rsidRPr="00405DED">
        <w:rPr>
          <w:rFonts w:ascii="Trebuchet MS" w:hAnsi="Trebuchet MS"/>
          <w:color w:val="000000" w:themeColor="text1"/>
          <w:sz w:val="22"/>
          <w:szCs w:val="22"/>
          <w:lang w:val="en-US"/>
        </w:rPr>
        <w:t>ar</w:t>
      </w:r>
      <w:r w:rsidRPr="00405DED">
        <w:rPr>
          <w:rFonts w:ascii="Trebuchet MS" w:hAnsi="Trebuchet MS"/>
          <w:color w:val="000000" w:themeColor="text1"/>
          <w:sz w:val="22"/>
          <w:szCs w:val="22"/>
          <w:lang w:val="en-US"/>
        </w:rPr>
        <w:t>nard, a partner in Akin's Dallas office. Thanks for listening, and if you liked today and found it helpful, please like and subscribe on your preferred podcast platform. We'll see you next time</w:t>
      </w:r>
      <w:r w:rsidR="00C7090E">
        <w:rPr>
          <w:rFonts w:ascii="Trebuchet MS" w:hAnsi="Trebuchet MS"/>
          <w:color w:val="000000" w:themeColor="text1"/>
          <w:sz w:val="22"/>
          <w:szCs w:val="22"/>
          <w:lang w:val="en-US"/>
        </w:rPr>
        <w:t>.</w:t>
      </w:r>
    </w:p>
    <w:sectPr w:rsidR="009E36A0" w:rsidRPr="00405DED">
      <w:headerReference w:type="default" r:id="rId6"/>
      <w:footerReference w:type="default" r:id="rId7"/>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62E2" w14:textId="77777777" w:rsidR="00DE5DCC" w:rsidRDefault="00DE5DCC">
      <w:r>
        <w:separator/>
      </w:r>
    </w:p>
  </w:endnote>
  <w:endnote w:type="continuationSeparator" w:id="0">
    <w:p w14:paraId="327619D7" w14:textId="77777777" w:rsidR="00DE5DCC" w:rsidRDefault="00DE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E138" w14:textId="77777777" w:rsidR="009E36A0" w:rsidRDefault="009E36A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77305" w14:textId="77777777" w:rsidR="00DE5DCC" w:rsidRDefault="00DE5DCC">
      <w:r>
        <w:separator/>
      </w:r>
    </w:p>
  </w:footnote>
  <w:footnote w:type="continuationSeparator" w:id="0">
    <w:p w14:paraId="2A1D1AC5" w14:textId="77777777" w:rsidR="00DE5DCC" w:rsidRDefault="00DE5D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C25B" w14:textId="77777777" w:rsidR="009E36A0" w:rsidRDefault="009E36A0">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A0"/>
    <w:rsid w:val="00405DED"/>
    <w:rsid w:val="004356EA"/>
    <w:rsid w:val="005803FE"/>
    <w:rsid w:val="005C6947"/>
    <w:rsid w:val="005E0D06"/>
    <w:rsid w:val="0065593A"/>
    <w:rsid w:val="006D6DEC"/>
    <w:rsid w:val="00805D08"/>
    <w:rsid w:val="00916563"/>
    <w:rsid w:val="009E36A0"/>
    <w:rsid w:val="00A074B5"/>
    <w:rsid w:val="00BD59DB"/>
    <w:rsid w:val="00C7090E"/>
    <w:rsid w:val="00CA5A20"/>
    <w:rsid w:val="00DC6D6B"/>
    <w:rsid w:val="00DE5DCC"/>
    <w:rsid w:val="00E15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BE7E4"/>
  <w15:docId w15:val="{B7CD5623-34D2-4598-9DFE-BAC80144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uiPriority w:val="10"/>
    <w:qFormat/>
    <w:pPr>
      <w:spacing w:after="260"/>
    </w:pPr>
    <w:rPr>
      <w:rFonts w:cs="Arial Unicode MS"/>
      <w:b/>
      <w:bCs/>
      <w:color w:val="000000"/>
      <w:sz w:val="56"/>
      <w:szCs w:val="56"/>
      <w:u w:color="000000"/>
      <w14:textOutline w14:w="0" w14:cap="flat" w14:cmpd="sng" w14:algn="ctr">
        <w14:noFill/>
        <w14:prstDash w14:val="solid"/>
        <w14:bevel/>
      </w14:textOutline>
    </w:rPr>
  </w:style>
  <w:style w:type="paragraph" w:customStyle="1" w:styleId="Script">
    <w:name w:val="Script"/>
    <w:pPr>
      <w:spacing w:after="360"/>
    </w:pPr>
    <w:rPr>
      <w:rFonts w:cs="Arial Unicode MS"/>
      <w:color w:val="000000"/>
      <w:sz w:val="28"/>
      <w:szCs w:val="28"/>
      <w:u w:color="000000"/>
      <w:lang w:val="pt-PT"/>
    </w:rPr>
  </w:style>
  <w:style w:type="paragraph" w:customStyle="1" w:styleId="Heading">
    <w:name w:val="Heading"/>
    <w:pPr>
      <w:spacing w:before="120" w:after="260"/>
      <w:outlineLvl w:val="0"/>
    </w:pPr>
    <w:rPr>
      <w:rFonts w:cs="Arial Unicode MS"/>
      <w:b/>
      <w:bCs/>
      <w:color w:val="000000"/>
      <w:sz w:val="48"/>
      <w:szCs w:val="48"/>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2349</Words>
  <Characters>12595</Characters>
  <Application>Microsoft Office Word</Application>
  <DocSecurity>0</DocSecurity>
  <Lines>182</Lines>
  <Paragraphs>35</Paragraphs>
  <ScaleCrop>false</ScaleCrop>
  <HeadingPairs>
    <vt:vector size="2" baseType="variant">
      <vt:variant>
        <vt:lpstr>Title</vt:lpstr>
      </vt:variant>
      <vt:variant>
        <vt:i4>1</vt:i4>
      </vt:variant>
    </vt:vector>
  </HeadingPairs>
  <TitlesOfParts>
    <vt:vector size="1" baseType="lpstr">
      <vt:lpstr/>
    </vt:vector>
  </TitlesOfParts>
  <Company>Akin</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Juliette</cp:lastModifiedBy>
  <cp:revision>2</cp:revision>
  <dcterms:created xsi:type="dcterms:W3CDTF">2026-08-14T17:33:00Z</dcterms:created>
  <dcterms:modified xsi:type="dcterms:W3CDTF">2026-08-14T17:33:00Z</dcterms:modified>
</cp:coreProperties>
</file>